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139FB801"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3GPP TSG-RAN WG2 Meeting #113 electronic</w:t>
      </w:r>
      <w:r w:rsidRPr="000950D2">
        <w:rPr>
          <w:rFonts w:ascii="Arial" w:eastAsia="MS Mincho" w:hAnsi="Arial"/>
          <w:b/>
          <w:sz w:val="24"/>
          <w:szCs w:val="24"/>
          <w:lang w:eastAsia="en-GB"/>
        </w:rPr>
        <w:tab/>
      </w:r>
      <w:r w:rsidR="00752A17">
        <w:rPr>
          <w:rFonts w:ascii="Arial" w:eastAsia="MS Mincho" w:hAnsi="Arial"/>
          <w:b/>
          <w:sz w:val="24"/>
          <w:szCs w:val="24"/>
          <w:lang w:eastAsia="en-GB"/>
        </w:rPr>
        <w:t>R2-2101751</w:t>
      </w:r>
      <w:bookmarkStart w:id="0" w:name="_GoBack"/>
      <w:bookmarkEnd w:id="0"/>
    </w:p>
    <w:p w14:paraId="67CFD2EB" w14:textId="2B6F9565" w:rsidR="003D6C1C" w:rsidRDefault="000950D2" w:rsidP="000950D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Online, Jan 25 – Feb 5, 2021</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4D39D59C"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8.6.</w:t>
      </w:r>
      <w:r w:rsidR="000950D2">
        <w:rPr>
          <w:rFonts w:ascii="Arial" w:hAnsi="Arial" w:cs="Arial"/>
          <w:b/>
          <w:bCs/>
          <w:sz w:val="24"/>
          <w:szCs w:val="24"/>
          <w:lang w:val="en-US" w:eastAsia="zh-TW"/>
        </w:rPr>
        <w:t>4</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6F39657A"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C36089">
        <w:rPr>
          <w:rFonts w:ascii="Arial" w:hAnsi="Arial" w:cs="Arial"/>
          <w:b/>
          <w:sz w:val="24"/>
          <w:szCs w:val="24"/>
          <w:lang w:eastAsia="zh-TW"/>
        </w:rPr>
        <w:t xml:space="preserve">Discussion on </w:t>
      </w:r>
      <w:r w:rsidR="000950D2">
        <w:rPr>
          <w:rFonts w:ascii="Arial" w:hAnsi="Arial" w:cs="Arial"/>
          <w:b/>
          <w:sz w:val="24"/>
          <w:szCs w:val="24"/>
          <w:lang w:eastAsia="zh-TW"/>
        </w:rPr>
        <w:t>RO configuration between SDT and legacy RA</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68A3E785" w14:textId="1B2CB148" w:rsidR="00BC5695" w:rsidRDefault="005C245E" w:rsidP="00FF6859">
      <w:pPr>
        <w:pStyle w:val="af0"/>
        <w:spacing w:after="240" w:line="280" w:lineRule="exact"/>
        <w:jc w:val="both"/>
        <w:rPr>
          <w:color w:val="000000" w:themeColor="text1"/>
          <w:sz w:val="22"/>
        </w:rPr>
      </w:pPr>
      <w:r>
        <w:rPr>
          <w:color w:val="000000" w:themeColor="text1"/>
          <w:sz w:val="22"/>
          <w:lang w:val="en-GB"/>
        </w:rPr>
        <w:t xml:space="preserve">In </w:t>
      </w:r>
      <w:r>
        <w:rPr>
          <w:rFonts w:hint="eastAsia"/>
          <w:color w:val="000000" w:themeColor="text1"/>
          <w:sz w:val="22"/>
        </w:rPr>
        <w:t>RAN2 #11</w:t>
      </w:r>
      <w:r w:rsidR="004C206F">
        <w:rPr>
          <w:rFonts w:hint="eastAsia"/>
          <w:color w:val="000000" w:themeColor="text1"/>
          <w:sz w:val="22"/>
        </w:rPr>
        <w:t>2</w:t>
      </w:r>
      <w:r>
        <w:rPr>
          <w:color w:val="000000" w:themeColor="text1"/>
          <w:sz w:val="22"/>
        </w:rPr>
        <w:t xml:space="preserve"> </w:t>
      </w:r>
      <w:r w:rsidR="00780E39">
        <w:rPr>
          <w:color w:val="000000" w:themeColor="text1"/>
          <w:sz w:val="22"/>
        </w:rPr>
        <w:t xml:space="preserve">meeting </w:t>
      </w:r>
      <w:r>
        <w:rPr>
          <w:color w:val="000000" w:themeColor="text1"/>
          <w:sz w:val="22"/>
        </w:rPr>
        <w:t xml:space="preserve">[1], </w:t>
      </w:r>
      <w:r w:rsidR="003443FC" w:rsidDel="00033900">
        <w:rPr>
          <w:rFonts w:hint="eastAsia"/>
          <w:sz w:val="22"/>
          <w:szCs w:val="22"/>
        </w:rPr>
        <w:t>it has been agreed that</w:t>
      </w:r>
      <w:r w:rsidR="003443FC">
        <w:rPr>
          <w:rFonts w:hint="eastAsia"/>
          <w:color w:val="000000" w:themeColor="text1"/>
          <w:sz w:val="22"/>
        </w:rPr>
        <w:t xml:space="preserve"> </w:t>
      </w:r>
      <w:r w:rsidR="003443FC" w:rsidRPr="003443FC">
        <w:rPr>
          <w:color w:val="000000" w:themeColor="text1"/>
          <w:sz w:val="22"/>
        </w:rPr>
        <w:t>the RACH resource (</w:t>
      </w:r>
      <w:r w:rsidR="003443FC">
        <w:rPr>
          <w:color w:val="000000" w:themeColor="text1"/>
          <w:sz w:val="22"/>
        </w:rPr>
        <w:t xml:space="preserve">i.e. the combination of </w:t>
      </w:r>
      <w:r w:rsidR="003443FC" w:rsidRPr="003443FC">
        <w:rPr>
          <w:color w:val="000000" w:themeColor="text1"/>
          <w:sz w:val="22"/>
        </w:rPr>
        <w:t>RO</w:t>
      </w:r>
      <w:r w:rsidR="003443FC">
        <w:rPr>
          <w:color w:val="000000" w:themeColor="text1"/>
          <w:sz w:val="22"/>
        </w:rPr>
        <w:t xml:space="preserve"> and RA preamble</w:t>
      </w:r>
      <w:r w:rsidR="003443FC" w:rsidRPr="003443FC">
        <w:rPr>
          <w:color w:val="000000" w:themeColor="text1"/>
          <w:sz w:val="22"/>
        </w:rPr>
        <w:t>) is different between SDT and non-SDT</w:t>
      </w:r>
      <w:r w:rsidR="00E8277B">
        <w:rPr>
          <w:color w:val="000000" w:themeColor="text1"/>
          <w:sz w:val="22"/>
        </w:rPr>
        <w:t xml:space="preserve"> </w:t>
      </w:r>
      <w:r w:rsidR="00952BE3">
        <w:rPr>
          <w:color w:val="000000" w:themeColor="text1"/>
          <w:sz w:val="22"/>
        </w:rPr>
        <w:t>a</w:t>
      </w:r>
      <w:r w:rsidR="00E8277B">
        <w:rPr>
          <w:color w:val="000000" w:themeColor="text1"/>
          <w:sz w:val="22"/>
        </w:rPr>
        <w:t xml:space="preserve">nd the common configuration between </w:t>
      </w:r>
      <w:r w:rsidR="00E8277B" w:rsidRPr="003443FC">
        <w:rPr>
          <w:color w:val="000000" w:themeColor="text1"/>
          <w:sz w:val="22"/>
        </w:rPr>
        <w:t>SDT and non-SDT</w:t>
      </w:r>
      <w:r w:rsidR="00E8277B">
        <w:rPr>
          <w:color w:val="000000" w:themeColor="text1"/>
          <w:sz w:val="22"/>
        </w:rPr>
        <w:t xml:space="preserve"> is FFS.</w:t>
      </w:r>
    </w:p>
    <w:tbl>
      <w:tblPr>
        <w:tblStyle w:val="af3"/>
        <w:tblW w:w="0" w:type="auto"/>
        <w:tblInd w:w="1083" w:type="dxa"/>
        <w:tblLook w:val="04A0" w:firstRow="1" w:lastRow="0" w:firstColumn="1" w:lastColumn="0" w:noHBand="0" w:noVBand="1"/>
      </w:tblPr>
      <w:tblGrid>
        <w:gridCol w:w="8546"/>
      </w:tblGrid>
      <w:tr w:rsidR="004C206F" w:rsidRPr="008562A2" w14:paraId="336AF0AC" w14:textId="77777777" w:rsidTr="00C76170">
        <w:tc>
          <w:tcPr>
            <w:tcW w:w="10194" w:type="dxa"/>
          </w:tcPr>
          <w:p w14:paraId="660CDDAB" w14:textId="77777777" w:rsidR="004C206F" w:rsidRPr="008562A2" w:rsidRDefault="004C206F" w:rsidP="00C76170">
            <w:pPr>
              <w:pStyle w:val="Doc-text2"/>
              <w:ind w:left="363"/>
              <w:rPr>
                <w:b/>
                <w:bCs/>
              </w:rPr>
            </w:pPr>
            <w:r w:rsidRPr="008562A2">
              <w:rPr>
                <w:b/>
                <w:bCs/>
              </w:rPr>
              <w:t>Agreements:</w:t>
            </w:r>
          </w:p>
          <w:p w14:paraId="2FF65382" w14:textId="77777777" w:rsidR="004C206F" w:rsidRPr="008562A2" w:rsidRDefault="004C206F" w:rsidP="00C76170">
            <w:pPr>
              <w:pStyle w:val="Doc-text2"/>
              <w:ind w:left="363"/>
            </w:pPr>
            <w:r w:rsidRPr="008562A2">
              <w:t xml:space="preserve">10:  </w:t>
            </w:r>
            <w:r w:rsidRPr="006813AA">
              <w:rPr>
                <w:highlight w:val="yellow"/>
              </w:rPr>
              <w:t>As a baseline, the RACH resource i.e. (RO+preamble combination) is different between SDT and non-SDT</w:t>
            </w:r>
            <w:r w:rsidRPr="008562A2">
              <w:t xml:space="preserve"> </w:t>
            </w:r>
          </w:p>
          <w:p w14:paraId="17EE5F4C" w14:textId="77777777" w:rsidR="004C206F" w:rsidRPr="008562A2" w:rsidRDefault="004C206F" w:rsidP="00C76170">
            <w:pPr>
              <w:pStyle w:val="Doc-text2"/>
              <w:ind w:left="363"/>
            </w:pPr>
            <w:r w:rsidRPr="008562A2">
              <w:t>-</w:t>
            </w:r>
            <w:r w:rsidRPr="008562A2">
              <w:tab/>
              <w:t>If ROs for SDT and non SDT are different, preamble partitioning between SDT and non SDT is not needed.</w:t>
            </w:r>
          </w:p>
          <w:p w14:paraId="2ECA9B83" w14:textId="77777777" w:rsidR="004C206F" w:rsidRPr="008562A2" w:rsidRDefault="004C206F" w:rsidP="00C76170">
            <w:pPr>
              <w:pStyle w:val="Doc-text2"/>
              <w:ind w:left="363"/>
            </w:pPr>
            <w:r w:rsidRPr="008562A2">
              <w:t>-</w:t>
            </w:r>
            <w:r w:rsidRPr="008562A2">
              <w:tab/>
              <w:t>If ROs for SDT and non SDT are same, preamble partitioning is needed</w:t>
            </w:r>
          </w:p>
          <w:p w14:paraId="4F4F61E2" w14:textId="3FB73895" w:rsidR="004C206F" w:rsidRPr="008562A2" w:rsidRDefault="004C206F" w:rsidP="004C206F">
            <w:pPr>
              <w:pStyle w:val="Doc-text2"/>
              <w:ind w:left="363"/>
            </w:pPr>
            <w:r w:rsidRPr="006813AA">
              <w:rPr>
                <w:highlight w:val="yellow"/>
              </w:rPr>
              <w:t>FFS if common configuration should be allowed</w:t>
            </w:r>
          </w:p>
        </w:tc>
      </w:tr>
    </w:tbl>
    <w:p w14:paraId="4CB4FB9C" w14:textId="28DCB03E" w:rsidR="005A1B1B" w:rsidRDefault="00F72F6F" w:rsidP="00FF6859">
      <w:pPr>
        <w:pStyle w:val="af0"/>
        <w:spacing w:after="240" w:line="280" w:lineRule="exact"/>
        <w:jc w:val="both"/>
        <w:rPr>
          <w:color w:val="000000" w:themeColor="text1"/>
          <w:sz w:val="22"/>
        </w:rPr>
      </w:pPr>
      <w:r w:rsidRPr="00F72F6F">
        <w:rPr>
          <w:color w:val="000000" w:themeColor="text1"/>
          <w:sz w:val="22"/>
        </w:rPr>
        <w:t xml:space="preserve">In this contribution, we discuss the </w:t>
      </w:r>
      <w:r w:rsidR="00E8277B">
        <w:rPr>
          <w:color w:val="000000" w:themeColor="text1"/>
          <w:sz w:val="22"/>
        </w:rPr>
        <w:t xml:space="preserve">sharing RO between </w:t>
      </w:r>
      <w:r w:rsidR="00E8277B" w:rsidRPr="003443FC">
        <w:rPr>
          <w:color w:val="000000" w:themeColor="text1"/>
          <w:sz w:val="22"/>
        </w:rPr>
        <w:t>SDT and non-SDT</w:t>
      </w:r>
      <w:r w:rsidRPr="00F72F6F">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65AEE386" w14:textId="34C97D4B" w:rsidR="00CD5234" w:rsidRDefault="00952BE3" w:rsidP="007C7504">
      <w:pPr>
        <w:pStyle w:val="af0"/>
        <w:spacing w:after="240" w:line="280" w:lineRule="exact"/>
        <w:jc w:val="both"/>
        <w:rPr>
          <w:color w:val="000000" w:themeColor="text1"/>
          <w:sz w:val="22"/>
        </w:rPr>
      </w:pPr>
      <w:r w:rsidRPr="00952BE3">
        <w:rPr>
          <w:color w:val="000000" w:themeColor="text1"/>
          <w:sz w:val="22"/>
        </w:rPr>
        <w:t xml:space="preserve">In </w:t>
      </w:r>
      <w:r>
        <w:rPr>
          <w:color w:val="000000" w:themeColor="text1"/>
          <w:sz w:val="22"/>
        </w:rPr>
        <w:t>the agreement above</w:t>
      </w:r>
      <w:r w:rsidRPr="00952BE3">
        <w:rPr>
          <w:color w:val="000000" w:themeColor="text1"/>
          <w:sz w:val="22"/>
        </w:rPr>
        <w:t>, the configuration for RACH resource includes PRACH occasions</w:t>
      </w:r>
      <w:r>
        <w:rPr>
          <w:color w:val="000000" w:themeColor="text1"/>
          <w:sz w:val="22"/>
        </w:rPr>
        <w:t xml:space="preserve"> (RO)</w:t>
      </w:r>
      <w:r w:rsidRPr="00952BE3">
        <w:rPr>
          <w:color w:val="000000" w:themeColor="text1"/>
          <w:sz w:val="22"/>
        </w:rPr>
        <w:t xml:space="preserve"> and </w:t>
      </w:r>
      <w:r w:rsidR="00CD5234">
        <w:rPr>
          <w:color w:val="000000" w:themeColor="text1"/>
          <w:sz w:val="22"/>
        </w:rPr>
        <w:t xml:space="preserve">RA </w:t>
      </w:r>
      <w:r w:rsidRPr="00952BE3">
        <w:rPr>
          <w:color w:val="000000" w:themeColor="text1"/>
          <w:sz w:val="22"/>
        </w:rPr>
        <w:t>preamble configuration.</w:t>
      </w:r>
      <w:r>
        <w:rPr>
          <w:color w:val="000000" w:themeColor="text1"/>
          <w:sz w:val="22"/>
        </w:rPr>
        <w:t xml:space="preserve"> </w:t>
      </w:r>
      <w:r w:rsidR="003F22A4">
        <w:rPr>
          <w:rFonts w:hint="eastAsia"/>
          <w:color w:val="000000" w:themeColor="text1"/>
          <w:sz w:val="22"/>
        </w:rPr>
        <w:t xml:space="preserve">To distinguish </w:t>
      </w:r>
      <w:r w:rsidR="003F22A4" w:rsidRPr="003443FC">
        <w:rPr>
          <w:color w:val="000000" w:themeColor="text1"/>
          <w:sz w:val="22"/>
        </w:rPr>
        <w:t>RACH resource</w:t>
      </w:r>
      <w:r w:rsidR="003F22A4">
        <w:rPr>
          <w:color w:val="000000" w:themeColor="text1"/>
          <w:sz w:val="22"/>
        </w:rPr>
        <w:t xml:space="preserve"> between </w:t>
      </w:r>
      <w:r w:rsidR="003F22A4" w:rsidRPr="003443FC">
        <w:rPr>
          <w:color w:val="000000" w:themeColor="text1"/>
          <w:sz w:val="22"/>
        </w:rPr>
        <w:t>SDT and non-SDT</w:t>
      </w:r>
      <w:r w:rsidR="00777CEE">
        <w:rPr>
          <w:color w:val="000000" w:themeColor="text1"/>
          <w:sz w:val="22"/>
        </w:rPr>
        <w:t xml:space="preserve"> (i.e. legacy RA)</w:t>
      </w:r>
      <w:r w:rsidR="003F22A4">
        <w:rPr>
          <w:color w:val="000000" w:themeColor="text1"/>
          <w:sz w:val="22"/>
        </w:rPr>
        <w:t xml:space="preserve">, the UE could have RO or preamble partition between </w:t>
      </w:r>
      <w:r w:rsidR="003F22A4" w:rsidRPr="003443FC">
        <w:rPr>
          <w:color w:val="000000" w:themeColor="text1"/>
          <w:sz w:val="22"/>
        </w:rPr>
        <w:t>SDT and non-SDT</w:t>
      </w:r>
      <w:r w:rsidR="003F22A4">
        <w:rPr>
          <w:color w:val="000000" w:themeColor="text1"/>
          <w:sz w:val="22"/>
        </w:rPr>
        <w:t>.</w:t>
      </w:r>
      <w:r w:rsidR="00CD5234">
        <w:rPr>
          <w:color w:val="000000" w:themeColor="text1"/>
          <w:sz w:val="22"/>
        </w:rPr>
        <w:t xml:space="preserve"> </w:t>
      </w:r>
    </w:p>
    <w:p w14:paraId="40DF67EB" w14:textId="427E3868" w:rsidR="002D5C8F" w:rsidRDefault="00780E39" w:rsidP="00F940BA">
      <w:pPr>
        <w:rPr>
          <w:b/>
          <w:sz w:val="22"/>
          <w:szCs w:val="22"/>
          <w:lang w:val="en-US" w:eastAsia="zh-TW"/>
        </w:rPr>
      </w:pPr>
      <w:r>
        <w:rPr>
          <w:color w:val="000000" w:themeColor="text1"/>
          <w:sz w:val="22"/>
        </w:rPr>
        <w:t>Most companies think that t</w:t>
      </w:r>
      <w:r w:rsidR="00F940BA">
        <w:rPr>
          <w:color w:val="000000" w:themeColor="text1"/>
          <w:sz w:val="22"/>
        </w:rPr>
        <w:t xml:space="preserve">he </w:t>
      </w:r>
      <w:r w:rsidR="002D53FB">
        <w:rPr>
          <w:color w:val="000000" w:themeColor="text1"/>
          <w:sz w:val="22"/>
        </w:rPr>
        <w:t xml:space="preserve">separate RO (i.e. </w:t>
      </w:r>
      <w:r w:rsidR="00637EA6">
        <w:rPr>
          <w:color w:val="000000" w:themeColor="text1"/>
          <w:sz w:val="22"/>
        </w:rPr>
        <w:t>RO partition</w:t>
      </w:r>
      <w:r w:rsidR="002D53FB">
        <w:rPr>
          <w:color w:val="000000" w:themeColor="text1"/>
          <w:sz w:val="22"/>
        </w:rPr>
        <w:t xml:space="preserve">) between </w:t>
      </w:r>
      <w:r w:rsidR="002D53FB" w:rsidRPr="003443FC">
        <w:rPr>
          <w:color w:val="000000" w:themeColor="text1"/>
          <w:sz w:val="22"/>
        </w:rPr>
        <w:t>SDT and non-SDT</w:t>
      </w:r>
      <w:r w:rsidR="002D53FB">
        <w:rPr>
          <w:color w:val="000000" w:themeColor="text1"/>
          <w:sz w:val="22"/>
        </w:rPr>
        <w:t xml:space="preserve"> can be supported</w:t>
      </w:r>
      <w:r w:rsidR="008B436D">
        <w:rPr>
          <w:color w:val="000000" w:themeColor="text1"/>
          <w:sz w:val="22"/>
        </w:rPr>
        <w:t>,</w:t>
      </w:r>
      <w:r w:rsidR="002D53FB">
        <w:rPr>
          <w:color w:val="000000" w:themeColor="text1"/>
          <w:sz w:val="22"/>
        </w:rPr>
        <w:t xml:space="preserve"> and </w:t>
      </w:r>
      <w:r>
        <w:rPr>
          <w:color w:val="000000" w:themeColor="text1"/>
          <w:sz w:val="22"/>
        </w:rPr>
        <w:t xml:space="preserve">some companies think that </w:t>
      </w:r>
      <w:r w:rsidR="002D53FB">
        <w:rPr>
          <w:color w:val="000000" w:themeColor="text1"/>
          <w:sz w:val="22"/>
        </w:rPr>
        <w:t xml:space="preserve">the shared RO can be supported in addition. </w:t>
      </w:r>
      <w:r>
        <w:rPr>
          <w:color w:val="000000" w:themeColor="text1"/>
          <w:sz w:val="22"/>
        </w:rPr>
        <w:t>In our view, there are several benefits to support the shared RO. Firstly, i</w:t>
      </w:r>
      <w:r w:rsidR="002D53FB">
        <w:rPr>
          <w:color w:val="000000" w:themeColor="text1"/>
          <w:sz w:val="22"/>
        </w:rPr>
        <w:t xml:space="preserve">f the shared RO is applied, the </w:t>
      </w:r>
      <w:r>
        <w:rPr>
          <w:color w:val="000000" w:themeColor="text1"/>
          <w:sz w:val="22"/>
        </w:rPr>
        <w:t>network</w:t>
      </w:r>
      <w:r w:rsidR="002D53FB">
        <w:rPr>
          <w:color w:val="000000" w:themeColor="text1"/>
          <w:sz w:val="22"/>
        </w:rPr>
        <w:t xml:space="preserve"> can </w:t>
      </w:r>
      <w:r>
        <w:rPr>
          <w:color w:val="000000" w:themeColor="text1"/>
          <w:sz w:val="22"/>
        </w:rPr>
        <w:t>configure</w:t>
      </w:r>
      <w:r w:rsidR="002D53FB">
        <w:rPr>
          <w:color w:val="000000" w:themeColor="text1"/>
          <w:sz w:val="22"/>
        </w:rPr>
        <w:t xml:space="preserve"> SDT without addition</w:t>
      </w:r>
      <w:r>
        <w:rPr>
          <w:color w:val="000000" w:themeColor="text1"/>
          <w:sz w:val="22"/>
        </w:rPr>
        <w:t>al</w:t>
      </w:r>
      <w:r w:rsidR="002D53FB">
        <w:rPr>
          <w:color w:val="000000" w:themeColor="text1"/>
          <w:sz w:val="22"/>
        </w:rPr>
        <w:t xml:space="preserve"> RO </w:t>
      </w:r>
      <w:r w:rsidR="006813AA">
        <w:rPr>
          <w:color w:val="000000" w:themeColor="text1"/>
          <w:sz w:val="22"/>
        </w:rPr>
        <w:t>resources</w:t>
      </w:r>
      <w:r w:rsidR="00EB5BE3">
        <w:rPr>
          <w:color w:val="000000" w:themeColor="text1"/>
          <w:sz w:val="22"/>
        </w:rPr>
        <w:t xml:space="preserve"> since the RO resource for SDT can share the RO resource for legacy RA</w:t>
      </w:r>
      <w:r w:rsidR="002D53FB">
        <w:rPr>
          <w:color w:val="000000" w:themeColor="text1"/>
          <w:sz w:val="22"/>
        </w:rPr>
        <w:t xml:space="preserve">. </w:t>
      </w:r>
      <w:r w:rsidR="00EB5BE3">
        <w:rPr>
          <w:color w:val="000000" w:themeColor="text1"/>
          <w:sz w:val="22"/>
        </w:rPr>
        <w:t>In addition, as also mentioned in [2][3][4], t</w:t>
      </w:r>
      <w:r w:rsidR="002D53FB">
        <w:rPr>
          <w:color w:val="000000" w:themeColor="text1"/>
          <w:sz w:val="22"/>
        </w:rPr>
        <w:t xml:space="preserve">he shared RO configuration may avoid </w:t>
      </w:r>
      <w:r w:rsidR="002D53FB" w:rsidRPr="00637EA6">
        <w:rPr>
          <w:color w:val="000000" w:themeColor="text1"/>
          <w:sz w:val="22"/>
        </w:rPr>
        <w:t>available resource</w:t>
      </w:r>
      <w:r w:rsidR="002D53FB" w:rsidDel="00CD5234">
        <w:rPr>
          <w:rFonts w:hint="eastAsia"/>
          <w:color w:val="000000" w:themeColor="text1"/>
          <w:sz w:val="22"/>
        </w:rPr>
        <w:t xml:space="preserve"> </w:t>
      </w:r>
      <w:r w:rsidR="006813AA">
        <w:rPr>
          <w:color w:val="000000" w:themeColor="text1"/>
          <w:sz w:val="22"/>
        </w:rPr>
        <w:t xml:space="preserve">reduction </w:t>
      </w:r>
      <w:r w:rsidR="002D53FB">
        <w:rPr>
          <w:color w:val="000000" w:themeColor="text1"/>
          <w:sz w:val="22"/>
        </w:rPr>
        <w:t xml:space="preserve">and </w:t>
      </w:r>
      <w:r w:rsidR="00637EA6" w:rsidRPr="00637EA6">
        <w:rPr>
          <w:color w:val="000000" w:themeColor="text1"/>
          <w:sz w:val="22"/>
        </w:rPr>
        <w:t>capacity loss</w:t>
      </w:r>
      <w:r w:rsidR="00F940BA">
        <w:rPr>
          <w:color w:val="000000" w:themeColor="text1"/>
          <w:sz w:val="22"/>
        </w:rPr>
        <w:t xml:space="preserve"> in</w:t>
      </w:r>
      <w:r w:rsidR="00F940BA" w:rsidRPr="00637EA6">
        <w:rPr>
          <w:color w:val="000000" w:themeColor="text1"/>
          <w:sz w:val="22"/>
        </w:rPr>
        <w:t xml:space="preserve"> high cell loads</w:t>
      </w:r>
      <w:r w:rsidR="00637EA6">
        <w:rPr>
          <w:color w:val="000000" w:themeColor="text1"/>
          <w:sz w:val="22"/>
        </w:rPr>
        <w:t>.</w:t>
      </w:r>
      <w:r w:rsidR="004B7276">
        <w:rPr>
          <w:color w:val="000000" w:themeColor="text1"/>
          <w:sz w:val="22"/>
        </w:rPr>
        <w:t xml:space="preserve"> </w:t>
      </w:r>
      <w:r w:rsidR="00EB5BE3">
        <w:rPr>
          <w:color w:val="000000" w:themeColor="text1"/>
          <w:sz w:val="22"/>
        </w:rPr>
        <w:t>Moreover, it provides flexibility</w:t>
      </w:r>
      <w:r w:rsidR="00637EA6" w:rsidRPr="00637EA6">
        <w:rPr>
          <w:color w:val="000000" w:themeColor="text1"/>
          <w:sz w:val="22"/>
        </w:rPr>
        <w:t xml:space="preserve"> </w:t>
      </w:r>
      <w:r w:rsidR="004B7276">
        <w:rPr>
          <w:color w:val="000000" w:themeColor="text1"/>
          <w:sz w:val="22"/>
        </w:rPr>
        <w:t>for</w:t>
      </w:r>
      <w:r w:rsidR="003F22A4">
        <w:rPr>
          <w:color w:val="000000" w:themeColor="text1"/>
          <w:sz w:val="22"/>
        </w:rPr>
        <w:t xml:space="preserve"> </w:t>
      </w:r>
      <w:r w:rsidR="00710D1D">
        <w:rPr>
          <w:color w:val="000000" w:themeColor="text1"/>
          <w:sz w:val="22"/>
        </w:rPr>
        <w:t>t</w:t>
      </w:r>
      <w:r w:rsidR="003F22A4">
        <w:rPr>
          <w:color w:val="000000" w:themeColor="text1"/>
          <w:sz w:val="22"/>
        </w:rPr>
        <w:t>he</w:t>
      </w:r>
      <w:r w:rsidR="00A55CBD" w:rsidRPr="00A55CBD">
        <w:rPr>
          <w:color w:val="000000" w:themeColor="text1"/>
          <w:sz w:val="22"/>
        </w:rPr>
        <w:t xml:space="preserve"> network </w:t>
      </w:r>
      <w:r w:rsidR="002D53FB">
        <w:rPr>
          <w:color w:val="000000" w:themeColor="text1"/>
          <w:sz w:val="22"/>
        </w:rPr>
        <w:t xml:space="preserve">to </w:t>
      </w:r>
      <w:r w:rsidR="00A55CBD" w:rsidRPr="00A55CBD">
        <w:rPr>
          <w:color w:val="000000" w:themeColor="text1"/>
          <w:sz w:val="22"/>
        </w:rPr>
        <w:t xml:space="preserve">configure </w:t>
      </w:r>
      <w:r w:rsidR="00637EA6">
        <w:rPr>
          <w:color w:val="000000" w:themeColor="text1"/>
          <w:sz w:val="22"/>
        </w:rPr>
        <w:t>separated or shared RO between SDT and non-SDT</w:t>
      </w:r>
      <w:r w:rsidR="00A55CBD" w:rsidRPr="00A55CBD">
        <w:rPr>
          <w:color w:val="000000" w:themeColor="text1"/>
          <w:sz w:val="22"/>
        </w:rPr>
        <w:t xml:space="preserve"> in different scenarios.</w:t>
      </w:r>
      <w:r w:rsidR="00710D1D" w:rsidRPr="00710D1D">
        <w:rPr>
          <w:color w:val="000000" w:themeColor="text1"/>
          <w:sz w:val="22"/>
        </w:rPr>
        <w:t xml:space="preserve"> </w:t>
      </w:r>
      <w:r w:rsidR="00710D1D">
        <w:rPr>
          <w:color w:val="000000" w:themeColor="text1"/>
          <w:sz w:val="22"/>
        </w:rPr>
        <w:t>If the UE is configured with separated RO for SDT, the UE uses the configured RO to perform SDT. If the UE isn’t configured with separated RO for SDT, the UE uses the RO for non-SDT to perform SDT.</w:t>
      </w:r>
      <w:r w:rsidR="00EB5BE3">
        <w:rPr>
          <w:color w:val="000000" w:themeColor="text1"/>
          <w:sz w:val="22"/>
        </w:rPr>
        <w:t xml:space="preserve"> Therefore, we think it is beneficial to support shared RO in addition to the separate RO between SDT and non-SDT.</w:t>
      </w:r>
    </w:p>
    <w:p w14:paraId="34B8CDD8" w14:textId="1EA41AC1" w:rsidR="00F940BA" w:rsidRDefault="00F940BA" w:rsidP="00F940BA">
      <w:pPr>
        <w:rPr>
          <w:b/>
          <w:sz w:val="22"/>
          <w:szCs w:val="22"/>
          <w:lang w:val="en-US" w:eastAsia="zh-TW"/>
        </w:rPr>
      </w:pPr>
      <w:r>
        <w:rPr>
          <w:b/>
          <w:sz w:val="22"/>
          <w:szCs w:val="22"/>
          <w:lang w:val="en-US" w:eastAsia="zh-TW"/>
        </w:rPr>
        <w:t>Observation 1: It</w:t>
      </w:r>
      <w:r w:rsidR="0099121B">
        <w:rPr>
          <w:b/>
          <w:sz w:val="22"/>
          <w:szCs w:val="22"/>
          <w:lang w:val="en-US" w:eastAsia="zh-TW"/>
        </w:rPr>
        <w:t xml:space="preserve"> provide</w:t>
      </w:r>
      <w:r w:rsidR="00FC4720">
        <w:rPr>
          <w:b/>
          <w:sz w:val="22"/>
          <w:szCs w:val="22"/>
          <w:lang w:val="en-US" w:eastAsia="zh-TW"/>
        </w:rPr>
        <w:t>s benefits including</w:t>
      </w:r>
      <w:r>
        <w:rPr>
          <w:b/>
          <w:sz w:val="22"/>
          <w:szCs w:val="22"/>
          <w:lang w:val="en-US" w:eastAsia="zh-TW"/>
        </w:rPr>
        <w:t xml:space="preserve"> NW </w:t>
      </w:r>
      <w:r w:rsidR="0099121B">
        <w:rPr>
          <w:b/>
          <w:sz w:val="22"/>
          <w:szCs w:val="22"/>
          <w:lang w:val="en-US" w:eastAsia="zh-TW"/>
        </w:rPr>
        <w:t xml:space="preserve">flexibility </w:t>
      </w:r>
      <w:r w:rsidR="00FC4720">
        <w:rPr>
          <w:b/>
          <w:sz w:val="22"/>
          <w:szCs w:val="22"/>
          <w:lang w:val="en-US" w:eastAsia="zh-TW"/>
        </w:rPr>
        <w:t>if</w:t>
      </w:r>
      <w:r w:rsidRPr="00F940BA">
        <w:rPr>
          <w:b/>
          <w:sz w:val="22"/>
          <w:szCs w:val="22"/>
          <w:lang w:val="en-US" w:eastAsia="zh-TW"/>
        </w:rPr>
        <w:t xml:space="preserve"> shared RO between SDT and non-SDT</w:t>
      </w:r>
      <w:r>
        <w:rPr>
          <w:b/>
          <w:sz w:val="22"/>
          <w:szCs w:val="22"/>
          <w:lang w:val="en-US" w:eastAsia="zh-TW"/>
        </w:rPr>
        <w:t xml:space="preserve"> </w:t>
      </w:r>
      <w:r w:rsidR="00FC4720">
        <w:rPr>
          <w:b/>
          <w:sz w:val="22"/>
          <w:szCs w:val="22"/>
          <w:lang w:val="en-US" w:eastAsia="zh-TW"/>
        </w:rPr>
        <w:t>is supported</w:t>
      </w:r>
      <w:r>
        <w:rPr>
          <w:b/>
          <w:sz w:val="22"/>
          <w:szCs w:val="22"/>
          <w:lang w:val="en-US" w:eastAsia="zh-TW"/>
        </w:rPr>
        <w:t>.</w:t>
      </w:r>
    </w:p>
    <w:p w14:paraId="3E8B6398" w14:textId="59E0F41C" w:rsidR="00270DD6" w:rsidRPr="00270DD6" w:rsidRDefault="00EB5BE3" w:rsidP="00270DD6">
      <w:pPr>
        <w:pStyle w:val="af0"/>
        <w:spacing w:after="240"/>
        <w:rPr>
          <w:color w:val="ED7D31" w:themeColor="accent2"/>
        </w:rPr>
      </w:pPr>
      <w:r>
        <w:rPr>
          <w:color w:val="000000" w:themeColor="text1"/>
          <w:sz w:val="22"/>
        </w:rPr>
        <w:t>On the other hand, it has also been agreed that w</w:t>
      </w:r>
      <w:r w:rsidR="00777CEE">
        <w:rPr>
          <w:color w:val="000000" w:themeColor="text1"/>
          <w:sz w:val="22"/>
        </w:rPr>
        <w:t>hen the SDT</w:t>
      </w:r>
      <w:r w:rsidR="00777CEE">
        <w:rPr>
          <w:rFonts w:hint="eastAsia"/>
          <w:color w:val="000000" w:themeColor="text1"/>
          <w:sz w:val="22"/>
        </w:rPr>
        <w:t xml:space="preserve"> </w:t>
      </w:r>
      <w:r w:rsidR="00777CEE">
        <w:rPr>
          <w:color w:val="000000" w:themeColor="text1"/>
          <w:sz w:val="22"/>
        </w:rPr>
        <w:t xml:space="preserve">procedure </w:t>
      </w:r>
      <w:r w:rsidR="00777CEE">
        <w:rPr>
          <w:rFonts w:hint="eastAsia"/>
          <w:color w:val="000000" w:themeColor="text1"/>
          <w:sz w:val="22"/>
        </w:rPr>
        <w:t>share</w:t>
      </w:r>
      <w:r w:rsidR="00777CEE">
        <w:rPr>
          <w:color w:val="000000" w:themeColor="text1"/>
          <w:sz w:val="22"/>
        </w:rPr>
        <w:t>s</w:t>
      </w:r>
      <w:r w:rsidR="00777CEE">
        <w:rPr>
          <w:rFonts w:hint="eastAsia"/>
          <w:color w:val="000000" w:themeColor="text1"/>
          <w:sz w:val="22"/>
        </w:rPr>
        <w:t xml:space="preserve"> RO</w:t>
      </w:r>
      <w:r w:rsidR="00777CEE">
        <w:rPr>
          <w:color w:val="000000" w:themeColor="text1"/>
          <w:sz w:val="22"/>
        </w:rPr>
        <w:t xml:space="preserve"> with non-SDT procedure</w:t>
      </w:r>
      <w:r w:rsidR="00777CEE">
        <w:rPr>
          <w:rFonts w:hint="eastAsia"/>
          <w:color w:val="000000" w:themeColor="text1"/>
          <w:sz w:val="22"/>
        </w:rPr>
        <w:t xml:space="preserve">, </w:t>
      </w:r>
      <w:r w:rsidR="00777CEE">
        <w:rPr>
          <w:color w:val="000000" w:themeColor="text1"/>
          <w:sz w:val="22"/>
        </w:rPr>
        <w:t xml:space="preserve">the </w:t>
      </w:r>
      <w:r w:rsidR="002244BD">
        <w:rPr>
          <w:rFonts w:hint="eastAsia"/>
          <w:color w:val="000000" w:themeColor="text1"/>
          <w:sz w:val="22"/>
        </w:rPr>
        <w:t>preamble partition</w:t>
      </w:r>
      <w:r w:rsidR="00777CEE">
        <w:rPr>
          <w:color w:val="000000" w:themeColor="text1"/>
          <w:sz w:val="22"/>
        </w:rPr>
        <w:t xml:space="preserve"> between </w:t>
      </w:r>
      <w:r w:rsidR="00777CEE" w:rsidRPr="003443FC">
        <w:rPr>
          <w:color w:val="000000" w:themeColor="text1"/>
          <w:sz w:val="22"/>
        </w:rPr>
        <w:t>SDT and non-SDT</w:t>
      </w:r>
      <w:r w:rsidR="00777CEE">
        <w:rPr>
          <w:color w:val="000000" w:themeColor="text1"/>
          <w:sz w:val="22"/>
        </w:rPr>
        <w:t xml:space="preserve"> is needed. </w:t>
      </w:r>
      <w:r>
        <w:rPr>
          <w:color w:val="000000" w:themeColor="text1"/>
          <w:sz w:val="22"/>
        </w:rPr>
        <w:t xml:space="preserve">In </w:t>
      </w:r>
      <w:r w:rsidR="00FC4720">
        <w:rPr>
          <w:color w:val="000000" w:themeColor="text1"/>
          <w:sz w:val="22"/>
        </w:rPr>
        <w:t>LTE EDT</w:t>
      </w:r>
      <w:r w:rsidR="00777CEE">
        <w:rPr>
          <w:color w:val="000000" w:themeColor="text1"/>
          <w:sz w:val="22"/>
        </w:rPr>
        <w:t xml:space="preserve">, the </w:t>
      </w:r>
      <w:r w:rsidR="00FC4720">
        <w:rPr>
          <w:color w:val="000000" w:themeColor="text1"/>
          <w:sz w:val="22"/>
        </w:rPr>
        <w:t>shared RO and preamble partition</w:t>
      </w:r>
      <w:r w:rsidR="00777CEE">
        <w:rPr>
          <w:color w:val="000000" w:themeColor="text1"/>
          <w:sz w:val="22"/>
        </w:rPr>
        <w:t xml:space="preserve"> is already supported. </w:t>
      </w:r>
      <w:r w:rsidR="00082532">
        <w:rPr>
          <w:color w:val="000000" w:themeColor="text1"/>
          <w:sz w:val="22"/>
        </w:rPr>
        <w:t xml:space="preserve">The NW can configure </w:t>
      </w:r>
      <w:r w:rsidR="003F22A4">
        <w:rPr>
          <w:color w:val="000000" w:themeColor="text1"/>
          <w:sz w:val="22"/>
        </w:rPr>
        <w:t xml:space="preserve">separated </w:t>
      </w:r>
      <w:r w:rsidR="00710D1D">
        <w:rPr>
          <w:color w:val="000000" w:themeColor="text1"/>
          <w:sz w:val="22"/>
        </w:rPr>
        <w:t>or</w:t>
      </w:r>
      <w:r w:rsidR="003F22A4">
        <w:rPr>
          <w:color w:val="000000" w:themeColor="text1"/>
          <w:sz w:val="22"/>
        </w:rPr>
        <w:t xml:space="preserve"> shared RO between EDT and non-EDT</w:t>
      </w:r>
      <w:r w:rsidR="00082532" w:rsidRPr="00082532">
        <w:rPr>
          <w:color w:val="000000" w:themeColor="text1"/>
          <w:sz w:val="22"/>
        </w:rPr>
        <w:t xml:space="preserve"> </w:t>
      </w:r>
      <w:r w:rsidR="00777CEE">
        <w:rPr>
          <w:color w:val="000000" w:themeColor="text1"/>
          <w:sz w:val="22"/>
        </w:rPr>
        <w:t>i</w:t>
      </w:r>
      <w:r w:rsidR="00777CEE" w:rsidRPr="00952BE3">
        <w:rPr>
          <w:color w:val="000000" w:themeColor="text1"/>
          <w:sz w:val="22"/>
        </w:rPr>
        <w:t>n LTE</w:t>
      </w:r>
      <w:r w:rsidR="003F22A4">
        <w:rPr>
          <w:color w:val="000000" w:themeColor="text1"/>
          <w:sz w:val="22"/>
        </w:rPr>
        <w:t xml:space="preserve">. That is, the RO configuration for EDT is optional. If the RO for EDT isn’t configured, the UE uses the RO for non-EDT during the EDT procedure. </w:t>
      </w:r>
      <w:r w:rsidR="00777CEE">
        <w:rPr>
          <w:color w:val="000000" w:themeColor="text1"/>
          <w:sz w:val="22"/>
        </w:rPr>
        <w:t xml:space="preserve">And </w:t>
      </w:r>
      <w:r w:rsidR="00710D1D">
        <w:rPr>
          <w:color w:val="000000" w:themeColor="text1"/>
          <w:sz w:val="22"/>
        </w:rPr>
        <w:t xml:space="preserve">in this case, </w:t>
      </w:r>
      <w:r w:rsidR="00777CEE">
        <w:rPr>
          <w:color w:val="000000" w:themeColor="text1"/>
          <w:sz w:val="22"/>
        </w:rPr>
        <w:t xml:space="preserve">the UE needs </w:t>
      </w:r>
      <w:r w:rsidR="00710D1D">
        <w:rPr>
          <w:color w:val="000000" w:themeColor="text1"/>
          <w:sz w:val="22"/>
        </w:rPr>
        <w:t xml:space="preserve">only </w:t>
      </w:r>
      <w:r w:rsidR="00777CEE">
        <w:rPr>
          <w:color w:val="000000" w:themeColor="text1"/>
          <w:sz w:val="22"/>
        </w:rPr>
        <w:t>a parameter to indicate the RA pream</w:t>
      </w:r>
      <w:r w:rsidR="00710D1D">
        <w:rPr>
          <w:color w:val="000000" w:themeColor="text1"/>
          <w:sz w:val="22"/>
        </w:rPr>
        <w:t xml:space="preserve">ble for </w:t>
      </w:r>
      <w:r w:rsidR="00777CEE">
        <w:rPr>
          <w:color w:val="000000" w:themeColor="text1"/>
          <w:sz w:val="22"/>
        </w:rPr>
        <w:t xml:space="preserve">EDT with shared RO. </w:t>
      </w:r>
      <w:r w:rsidR="00FC4720">
        <w:rPr>
          <w:rFonts w:hint="eastAsia"/>
          <w:color w:val="000000" w:themeColor="text1"/>
          <w:sz w:val="22"/>
        </w:rPr>
        <w:t>I</w:t>
      </w:r>
      <w:r w:rsidR="00FC4720">
        <w:rPr>
          <w:color w:val="000000" w:themeColor="text1"/>
          <w:sz w:val="22"/>
        </w:rPr>
        <w:t>n our view</w:t>
      </w:r>
      <w:r w:rsidR="00710D1D">
        <w:rPr>
          <w:color w:val="000000" w:themeColor="text1"/>
          <w:sz w:val="22"/>
        </w:rPr>
        <w:t>, t</w:t>
      </w:r>
      <w:r w:rsidR="003F22A4">
        <w:rPr>
          <w:color w:val="000000" w:themeColor="text1"/>
          <w:sz w:val="22"/>
        </w:rPr>
        <w:t xml:space="preserve">he </w:t>
      </w:r>
      <w:r w:rsidR="004647B4">
        <w:rPr>
          <w:color w:val="000000" w:themeColor="text1"/>
          <w:sz w:val="22"/>
        </w:rPr>
        <w:t xml:space="preserve">separated and shared </w:t>
      </w:r>
      <w:r w:rsidR="003F22A4">
        <w:rPr>
          <w:color w:val="000000" w:themeColor="text1"/>
          <w:sz w:val="22"/>
        </w:rPr>
        <w:t xml:space="preserve">RO </w:t>
      </w:r>
      <w:r w:rsidR="004647B4">
        <w:rPr>
          <w:color w:val="000000" w:themeColor="text1"/>
          <w:sz w:val="22"/>
        </w:rPr>
        <w:t>configuration</w:t>
      </w:r>
      <w:r w:rsidR="007E5213">
        <w:rPr>
          <w:color w:val="000000" w:themeColor="text1"/>
          <w:sz w:val="22"/>
        </w:rPr>
        <w:t>s</w:t>
      </w:r>
      <w:r w:rsidR="003F22A4">
        <w:rPr>
          <w:color w:val="000000" w:themeColor="text1"/>
          <w:sz w:val="22"/>
        </w:rPr>
        <w:t xml:space="preserve"> could be reused for </w:t>
      </w:r>
      <w:r w:rsidR="003F22A4" w:rsidRPr="003443FC">
        <w:rPr>
          <w:color w:val="000000" w:themeColor="text1"/>
          <w:sz w:val="22"/>
        </w:rPr>
        <w:t>SDT</w:t>
      </w:r>
      <w:r w:rsidR="003F22A4">
        <w:rPr>
          <w:color w:val="000000" w:themeColor="text1"/>
          <w:sz w:val="22"/>
        </w:rPr>
        <w:t>.</w:t>
      </w:r>
      <w:r w:rsidR="00E01EA3">
        <w:rPr>
          <w:color w:val="000000" w:themeColor="text1"/>
          <w:sz w:val="22"/>
        </w:rPr>
        <w:t xml:space="preserve"> If the RO for SDT isn’t configured, the UE use</w:t>
      </w:r>
      <w:r w:rsidR="004B7276">
        <w:rPr>
          <w:color w:val="000000" w:themeColor="text1"/>
          <w:sz w:val="22"/>
        </w:rPr>
        <w:t xml:space="preserve">s the RO for non-SDT during </w:t>
      </w:r>
      <w:r w:rsidR="00E01EA3">
        <w:rPr>
          <w:color w:val="000000" w:themeColor="text1"/>
          <w:sz w:val="22"/>
        </w:rPr>
        <w:t>SDT procedure</w:t>
      </w:r>
      <w:r w:rsidR="00777CEE">
        <w:rPr>
          <w:color w:val="000000" w:themeColor="text1"/>
          <w:sz w:val="22"/>
        </w:rPr>
        <w:t xml:space="preserve"> and indicates the RA preamble range by a configured parameter</w:t>
      </w:r>
      <w:r w:rsidR="00E01EA3">
        <w:rPr>
          <w:color w:val="000000" w:themeColor="text1"/>
          <w:sz w:val="22"/>
        </w:rPr>
        <w:t>.</w:t>
      </w:r>
    </w:p>
    <w:p w14:paraId="16C3E5CD" w14:textId="34C0DE0C" w:rsidR="00270DD6" w:rsidRPr="00270DD6" w:rsidRDefault="00E01EA3" w:rsidP="00270DD6">
      <w:pPr>
        <w:rPr>
          <w:color w:val="A5A5A5" w:themeColor="accent3"/>
        </w:rPr>
      </w:pPr>
      <w:r>
        <w:rPr>
          <w:b/>
          <w:sz w:val="22"/>
          <w:szCs w:val="22"/>
          <w:lang w:val="en-US" w:eastAsia="zh-TW"/>
        </w:rPr>
        <w:t>Observation 2: T</w:t>
      </w:r>
      <w:r w:rsidRPr="00E01EA3">
        <w:rPr>
          <w:b/>
          <w:sz w:val="22"/>
          <w:szCs w:val="22"/>
          <w:lang w:val="en-US" w:eastAsia="zh-TW"/>
        </w:rPr>
        <w:t>he separated and shared RO configuration</w:t>
      </w:r>
      <w:r w:rsidR="007E5213">
        <w:rPr>
          <w:b/>
          <w:sz w:val="22"/>
          <w:szCs w:val="22"/>
          <w:lang w:val="en-US" w:eastAsia="zh-TW"/>
        </w:rPr>
        <w:t>s</w:t>
      </w:r>
      <w:r w:rsidRPr="00E01EA3">
        <w:rPr>
          <w:b/>
          <w:sz w:val="22"/>
          <w:szCs w:val="22"/>
          <w:lang w:val="en-US" w:eastAsia="zh-TW"/>
        </w:rPr>
        <w:t xml:space="preserve"> </w:t>
      </w:r>
      <w:r>
        <w:rPr>
          <w:b/>
          <w:sz w:val="22"/>
          <w:szCs w:val="22"/>
          <w:lang w:val="en-US" w:eastAsia="zh-TW"/>
        </w:rPr>
        <w:t xml:space="preserve">in EDT could be reused </w:t>
      </w:r>
      <w:r w:rsidR="00710D1D">
        <w:rPr>
          <w:b/>
          <w:sz w:val="22"/>
          <w:szCs w:val="22"/>
          <w:lang w:val="en-US" w:eastAsia="zh-TW"/>
        </w:rPr>
        <w:t xml:space="preserve">in </w:t>
      </w:r>
      <w:r w:rsidRPr="00E01EA3">
        <w:rPr>
          <w:b/>
          <w:sz w:val="22"/>
          <w:szCs w:val="22"/>
          <w:lang w:val="en-US" w:eastAsia="zh-TW"/>
        </w:rPr>
        <w:t>SDT</w:t>
      </w:r>
      <w:r>
        <w:rPr>
          <w:b/>
          <w:sz w:val="22"/>
          <w:szCs w:val="22"/>
          <w:lang w:val="en-US" w:eastAsia="zh-TW"/>
        </w:rPr>
        <w:t>.</w:t>
      </w:r>
    </w:p>
    <w:p w14:paraId="760B28CB" w14:textId="2B56E2EB" w:rsidR="008D1533" w:rsidRDefault="008D1533" w:rsidP="008D1533">
      <w:pPr>
        <w:pStyle w:val="B3"/>
        <w:ind w:left="0" w:firstLine="0"/>
        <w:rPr>
          <w:b/>
          <w:sz w:val="22"/>
          <w:szCs w:val="22"/>
          <w:lang w:eastAsia="zh-TW"/>
        </w:rPr>
      </w:pPr>
      <w:r w:rsidRPr="004A564B">
        <w:rPr>
          <w:rFonts w:hint="eastAsia"/>
          <w:b/>
          <w:sz w:val="22"/>
          <w:szCs w:val="22"/>
          <w:lang w:val="en-US" w:eastAsia="zh-TW"/>
        </w:rPr>
        <w:lastRenderedPageBreak/>
        <w:t xml:space="preserve">Proposal </w:t>
      </w:r>
      <w:r>
        <w:rPr>
          <w:b/>
          <w:sz w:val="22"/>
          <w:szCs w:val="22"/>
          <w:lang w:val="en-US" w:eastAsia="zh-TW"/>
        </w:rPr>
        <w:t>1</w:t>
      </w:r>
      <w:r w:rsidRPr="004A564B">
        <w:rPr>
          <w:b/>
          <w:sz w:val="22"/>
          <w:szCs w:val="22"/>
          <w:lang w:val="en-US" w:eastAsia="zh-TW"/>
        </w:rPr>
        <w:t xml:space="preserve">: </w:t>
      </w:r>
      <w:r w:rsidR="00FC4720">
        <w:rPr>
          <w:b/>
          <w:sz w:val="22"/>
          <w:szCs w:val="22"/>
          <w:lang w:val="en-US" w:eastAsia="zh-TW"/>
        </w:rPr>
        <w:t>B</w:t>
      </w:r>
      <w:r w:rsidR="002244BD">
        <w:rPr>
          <w:rFonts w:hint="eastAsia"/>
          <w:b/>
          <w:sz w:val="22"/>
          <w:szCs w:val="22"/>
          <w:lang w:val="en-US" w:eastAsia="zh-TW"/>
        </w:rPr>
        <w:t xml:space="preserve">oth separated and </w:t>
      </w:r>
      <w:r w:rsidR="00B026D6">
        <w:rPr>
          <w:b/>
          <w:sz w:val="22"/>
          <w:szCs w:val="22"/>
          <w:lang w:eastAsia="zh-TW"/>
        </w:rPr>
        <w:t xml:space="preserve">shared </w:t>
      </w:r>
      <w:r w:rsidR="004B7276">
        <w:rPr>
          <w:b/>
          <w:sz w:val="22"/>
          <w:szCs w:val="22"/>
          <w:lang w:eastAsia="zh-TW"/>
        </w:rPr>
        <w:t>RO</w:t>
      </w:r>
      <w:r w:rsidR="00B026D6">
        <w:rPr>
          <w:b/>
          <w:sz w:val="22"/>
          <w:szCs w:val="22"/>
          <w:lang w:eastAsia="zh-TW"/>
        </w:rPr>
        <w:t xml:space="preserve"> </w:t>
      </w:r>
      <w:r w:rsidR="00561513">
        <w:rPr>
          <w:b/>
          <w:sz w:val="22"/>
          <w:szCs w:val="22"/>
          <w:lang w:eastAsia="zh-TW"/>
        </w:rPr>
        <w:t xml:space="preserve">configurations </w:t>
      </w:r>
      <w:r w:rsidR="00B026D6">
        <w:rPr>
          <w:b/>
          <w:sz w:val="22"/>
          <w:szCs w:val="22"/>
          <w:lang w:eastAsia="zh-TW"/>
        </w:rPr>
        <w:t>between SDT and non-SDT</w:t>
      </w:r>
      <w:r w:rsidR="00FC4720">
        <w:rPr>
          <w:b/>
          <w:sz w:val="22"/>
          <w:szCs w:val="22"/>
          <w:lang w:eastAsia="zh-TW"/>
        </w:rPr>
        <w:t xml:space="preserve"> should be supported</w:t>
      </w:r>
      <w:r>
        <w:rPr>
          <w:b/>
          <w:sz w:val="22"/>
          <w:szCs w:val="22"/>
          <w:lang w:eastAsia="zh-TW"/>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7273F4D2"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1A103C" w:rsidRPr="006C24D7">
        <w:rPr>
          <w:color w:val="000000" w:themeColor="text1"/>
          <w:sz w:val="22"/>
        </w:rPr>
        <w:t xml:space="preserve"> </w:t>
      </w:r>
      <w:r w:rsidR="00FF6859">
        <w:rPr>
          <w:color w:val="000000" w:themeColor="text1"/>
          <w:sz w:val="22"/>
        </w:rPr>
        <w:t xml:space="preserve">the </w:t>
      </w:r>
      <w:r w:rsidR="00270DD6">
        <w:rPr>
          <w:color w:val="000000" w:themeColor="text1"/>
          <w:sz w:val="22"/>
        </w:rPr>
        <w:t>RO sharing for SDT and non-SDT</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 xml:space="preserve">have the following </w:t>
      </w:r>
      <w:r w:rsidR="002B0830" w:rsidRPr="006C24D7">
        <w:rPr>
          <w:color w:val="000000" w:themeColor="text1"/>
          <w:sz w:val="22"/>
        </w:rPr>
        <w:t>observation</w:t>
      </w:r>
      <w:r w:rsidR="00B026D6">
        <w:rPr>
          <w:color w:val="000000" w:themeColor="text1"/>
          <w:sz w:val="22"/>
        </w:rPr>
        <w:t>s</w:t>
      </w:r>
      <w:r w:rsidR="002B0830" w:rsidRPr="006C24D7">
        <w:rPr>
          <w:color w:val="000000" w:themeColor="text1"/>
          <w:sz w:val="22"/>
        </w:rPr>
        <w:t xml:space="preserve"> and</w:t>
      </w:r>
      <w:r w:rsidR="002B0830" w:rsidRPr="006C24D7">
        <w:rPr>
          <w:rFonts w:hint="eastAsia"/>
          <w:color w:val="000000" w:themeColor="text1"/>
          <w:sz w:val="22"/>
        </w:rPr>
        <w:t xml:space="preserve"> </w:t>
      </w:r>
      <w:r w:rsidR="00C95C60" w:rsidRPr="006C24D7">
        <w:rPr>
          <w:rFonts w:hint="eastAsia"/>
          <w:color w:val="000000" w:themeColor="text1"/>
          <w:sz w:val="22"/>
        </w:rPr>
        <w:t>proposal:</w:t>
      </w:r>
    </w:p>
    <w:p w14:paraId="1AE5CC5E" w14:textId="36582CDF" w:rsidR="00561513" w:rsidRDefault="00561513" w:rsidP="00561513">
      <w:pPr>
        <w:rPr>
          <w:b/>
          <w:sz w:val="22"/>
          <w:szCs w:val="22"/>
          <w:lang w:val="en-US" w:eastAsia="zh-TW"/>
        </w:rPr>
      </w:pPr>
      <w:r>
        <w:rPr>
          <w:b/>
          <w:sz w:val="22"/>
          <w:szCs w:val="22"/>
          <w:lang w:val="en-US" w:eastAsia="zh-TW"/>
        </w:rPr>
        <w:t xml:space="preserve">Observation 1: </w:t>
      </w:r>
      <w:r w:rsidR="005B1017">
        <w:rPr>
          <w:b/>
          <w:sz w:val="22"/>
          <w:szCs w:val="22"/>
          <w:lang w:val="en-US" w:eastAsia="zh-TW"/>
        </w:rPr>
        <w:t>It provides benefits including NW flexibility if</w:t>
      </w:r>
      <w:r w:rsidR="005B1017" w:rsidRPr="00F940BA">
        <w:rPr>
          <w:b/>
          <w:sz w:val="22"/>
          <w:szCs w:val="22"/>
          <w:lang w:val="en-US" w:eastAsia="zh-TW"/>
        </w:rPr>
        <w:t xml:space="preserve"> shared RO between SDT and non-SDT</w:t>
      </w:r>
      <w:r w:rsidR="005B1017">
        <w:rPr>
          <w:b/>
          <w:sz w:val="22"/>
          <w:szCs w:val="22"/>
          <w:lang w:val="en-US" w:eastAsia="zh-TW"/>
        </w:rPr>
        <w:t xml:space="preserve"> is supported</w:t>
      </w:r>
      <w:r>
        <w:rPr>
          <w:b/>
          <w:sz w:val="22"/>
          <w:szCs w:val="22"/>
          <w:lang w:val="en-US" w:eastAsia="zh-TW"/>
        </w:rPr>
        <w:t>.</w:t>
      </w:r>
    </w:p>
    <w:p w14:paraId="1D4E0A6B" w14:textId="706727B0" w:rsidR="00561513" w:rsidRPr="00270DD6" w:rsidRDefault="00561513" w:rsidP="00561513">
      <w:pPr>
        <w:rPr>
          <w:color w:val="A5A5A5" w:themeColor="accent3"/>
        </w:rPr>
      </w:pPr>
      <w:r>
        <w:rPr>
          <w:b/>
          <w:sz w:val="22"/>
          <w:szCs w:val="22"/>
          <w:lang w:val="en-US" w:eastAsia="zh-TW"/>
        </w:rPr>
        <w:t>Observation 2: T</w:t>
      </w:r>
      <w:r w:rsidRPr="00E01EA3">
        <w:rPr>
          <w:b/>
          <w:sz w:val="22"/>
          <w:szCs w:val="22"/>
          <w:lang w:val="en-US" w:eastAsia="zh-TW"/>
        </w:rPr>
        <w:t>he separated and shared RO configuration</w:t>
      </w:r>
      <w:r>
        <w:rPr>
          <w:b/>
          <w:sz w:val="22"/>
          <w:szCs w:val="22"/>
          <w:lang w:val="en-US" w:eastAsia="zh-TW"/>
        </w:rPr>
        <w:t>s</w:t>
      </w:r>
      <w:r w:rsidRPr="00E01EA3">
        <w:rPr>
          <w:b/>
          <w:sz w:val="22"/>
          <w:szCs w:val="22"/>
          <w:lang w:val="en-US" w:eastAsia="zh-TW"/>
        </w:rPr>
        <w:t xml:space="preserve"> </w:t>
      </w:r>
      <w:r>
        <w:rPr>
          <w:b/>
          <w:sz w:val="22"/>
          <w:szCs w:val="22"/>
          <w:lang w:val="en-US" w:eastAsia="zh-TW"/>
        </w:rPr>
        <w:t xml:space="preserve">in EDT could be reused in </w:t>
      </w:r>
      <w:r w:rsidRPr="00E01EA3">
        <w:rPr>
          <w:b/>
          <w:sz w:val="22"/>
          <w:szCs w:val="22"/>
          <w:lang w:val="en-US" w:eastAsia="zh-TW"/>
        </w:rPr>
        <w:t>SDT</w:t>
      </w:r>
      <w:r>
        <w:rPr>
          <w:b/>
          <w:sz w:val="22"/>
          <w:szCs w:val="22"/>
          <w:lang w:val="en-US" w:eastAsia="zh-TW"/>
        </w:rPr>
        <w:t>.</w:t>
      </w:r>
    </w:p>
    <w:p w14:paraId="4C2B4597" w14:textId="7057C20A" w:rsidR="007B42F2" w:rsidRDefault="00561513" w:rsidP="00561513">
      <w:pPr>
        <w:pStyle w:val="B3"/>
        <w:ind w:left="0" w:firstLine="0"/>
        <w:rPr>
          <w:b/>
          <w:sz w:val="22"/>
          <w:szCs w:val="22"/>
          <w:lang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5B1017">
        <w:rPr>
          <w:b/>
          <w:sz w:val="22"/>
          <w:szCs w:val="22"/>
          <w:lang w:val="en-US" w:eastAsia="zh-TW"/>
        </w:rPr>
        <w:t>B</w:t>
      </w:r>
      <w:r>
        <w:rPr>
          <w:rFonts w:hint="eastAsia"/>
          <w:b/>
          <w:sz w:val="22"/>
          <w:szCs w:val="22"/>
          <w:lang w:val="en-US" w:eastAsia="zh-TW"/>
        </w:rPr>
        <w:t xml:space="preserve">oth separated and </w:t>
      </w:r>
      <w:r>
        <w:rPr>
          <w:b/>
          <w:sz w:val="22"/>
          <w:szCs w:val="22"/>
          <w:lang w:eastAsia="zh-TW"/>
        </w:rPr>
        <w:t xml:space="preserve">shared </w:t>
      </w:r>
      <w:r w:rsidR="004B7276">
        <w:rPr>
          <w:b/>
          <w:sz w:val="22"/>
          <w:szCs w:val="22"/>
          <w:lang w:eastAsia="zh-TW"/>
        </w:rPr>
        <w:t>RO</w:t>
      </w:r>
      <w:r>
        <w:rPr>
          <w:b/>
          <w:sz w:val="22"/>
          <w:szCs w:val="22"/>
          <w:lang w:eastAsia="zh-TW"/>
        </w:rPr>
        <w:t xml:space="preserve"> configurations between SDT and non-SDT</w:t>
      </w:r>
      <w:r w:rsidR="005B1017">
        <w:rPr>
          <w:b/>
          <w:sz w:val="22"/>
          <w:szCs w:val="22"/>
          <w:lang w:eastAsia="zh-TW"/>
        </w:rPr>
        <w:t xml:space="preserve"> should be supported</w:t>
      </w:r>
      <w:r>
        <w:rPr>
          <w:b/>
          <w:sz w:val="22"/>
          <w:szCs w:val="22"/>
          <w:lang w:eastAsia="zh-TW"/>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1E3A5B5" w14:textId="5850697D" w:rsidR="005C245E" w:rsidRDefault="003443FC" w:rsidP="005C245E">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545C7F">
        <w:rPr>
          <w:sz w:val="22"/>
          <w:szCs w:val="22"/>
          <w:lang w:val="en-US" w:eastAsia="zh-TW"/>
        </w:rPr>
        <w:t>R2-2100001</w:t>
      </w:r>
      <w:r>
        <w:rPr>
          <w:sz w:val="22"/>
          <w:szCs w:val="22"/>
          <w:lang w:val="en-US" w:eastAsia="zh-TW"/>
        </w:rPr>
        <w:t>, “</w:t>
      </w:r>
      <w:r w:rsidRPr="00545C7F">
        <w:rPr>
          <w:sz w:val="22"/>
          <w:szCs w:val="22"/>
          <w:lang w:val="en-US" w:eastAsia="zh-TW"/>
        </w:rPr>
        <w:t>Report of 3GPP TSG RAN2#112-e meeting, Online</w:t>
      </w:r>
      <w:r>
        <w:rPr>
          <w:sz w:val="22"/>
          <w:szCs w:val="22"/>
          <w:lang w:val="en-US" w:eastAsia="zh-TW"/>
        </w:rPr>
        <w:t>”</w:t>
      </w:r>
    </w:p>
    <w:p w14:paraId="36D6974E" w14:textId="49FBC5E3" w:rsidR="00082532" w:rsidRDefault="00082532" w:rsidP="00147BA0">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1B74CC">
        <w:rPr>
          <w:sz w:val="22"/>
          <w:szCs w:val="22"/>
          <w:lang w:val="en-US" w:eastAsia="zh-TW"/>
        </w:rPr>
        <w:t>R2-2009963</w:t>
      </w:r>
      <w:r>
        <w:rPr>
          <w:sz w:val="22"/>
          <w:szCs w:val="22"/>
          <w:lang w:val="en-US" w:eastAsia="zh-TW"/>
        </w:rPr>
        <w:t>, “</w:t>
      </w:r>
      <w:r w:rsidRPr="001B74CC">
        <w:rPr>
          <w:sz w:val="22"/>
          <w:szCs w:val="22"/>
          <w:lang w:val="en-US" w:eastAsia="zh-TW"/>
        </w:rPr>
        <w:t>Details of RACH based SDT</w:t>
      </w:r>
      <w:r>
        <w:rPr>
          <w:sz w:val="22"/>
          <w:szCs w:val="22"/>
          <w:lang w:val="en-US" w:eastAsia="zh-TW"/>
        </w:rPr>
        <w:t>”</w:t>
      </w:r>
      <w:r w:rsidR="00F1430D">
        <w:rPr>
          <w:sz w:val="22"/>
          <w:szCs w:val="22"/>
          <w:lang w:val="en-US" w:eastAsia="zh-TW"/>
        </w:rPr>
        <w:t xml:space="preserve">, </w:t>
      </w:r>
      <w:r w:rsidR="00F1430D" w:rsidRPr="00147BA0">
        <w:rPr>
          <w:sz w:val="22"/>
          <w:szCs w:val="22"/>
          <w:lang w:val="en-US" w:eastAsia="zh-TW"/>
        </w:rPr>
        <w:t>Ericsson</w:t>
      </w:r>
    </w:p>
    <w:p w14:paraId="1FEBBA2D" w14:textId="18430F0A" w:rsidR="000527A3" w:rsidRDefault="000527A3" w:rsidP="00147BA0">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0527A3">
        <w:rPr>
          <w:sz w:val="22"/>
          <w:szCs w:val="22"/>
          <w:lang w:val="en-US" w:eastAsia="zh-TW"/>
        </w:rPr>
        <w:t>R2-2010006</w:t>
      </w:r>
      <w:r>
        <w:rPr>
          <w:sz w:val="22"/>
          <w:szCs w:val="22"/>
          <w:lang w:val="en-US" w:eastAsia="zh-TW"/>
        </w:rPr>
        <w:t>, “</w:t>
      </w:r>
      <w:r w:rsidRPr="000527A3">
        <w:rPr>
          <w:sz w:val="22"/>
          <w:szCs w:val="22"/>
          <w:lang w:val="en-US" w:eastAsia="zh-TW"/>
        </w:rPr>
        <w:t>Discussion on RACH based NR small data transmission</w:t>
      </w:r>
      <w:r>
        <w:rPr>
          <w:sz w:val="22"/>
          <w:szCs w:val="22"/>
          <w:lang w:val="en-US" w:eastAsia="zh-TW"/>
        </w:rPr>
        <w:t>”</w:t>
      </w:r>
      <w:r w:rsidR="00F1430D">
        <w:rPr>
          <w:sz w:val="22"/>
          <w:szCs w:val="22"/>
          <w:lang w:val="en-US" w:eastAsia="zh-TW"/>
        </w:rPr>
        <w:t xml:space="preserve">, </w:t>
      </w:r>
      <w:r w:rsidR="00F1430D" w:rsidRPr="00147BA0">
        <w:rPr>
          <w:sz w:val="22"/>
          <w:szCs w:val="22"/>
          <w:lang w:val="en-US" w:eastAsia="zh-TW"/>
        </w:rPr>
        <w:t>Qualcomm Incorporated</w:t>
      </w:r>
    </w:p>
    <w:p w14:paraId="53A6AC39" w14:textId="4A48F48F" w:rsidR="001B74CC" w:rsidRPr="00561513" w:rsidRDefault="009B6CFC" w:rsidP="00147BA0">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082532">
        <w:rPr>
          <w:sz w:val="22"/>
          <w:szCs w:val="22"/>
          <w:lang w:val="en-US" w:eastAsia="zh-TW"/>
        </w:rPr>
        <w:t xml:space="preserve">R2-2010106, </w:t>
      </w:r>
      <w:r w:rsidRPr="00561513">
        <w:rPr>
          <w:sz w:val="22"/>
          <w:szCs w:val="22"/>
          <w:lang w:val="en-US" w:eastAsia="zh-TW"/>
        </w:rPr>
        <w:t>“RACH-based UL small data transmission procedure”</w:t>
      </w:r>
      <w:r w:rsidR="00F1430D">
        <w:rPr>
          <w:sz w:val="22"/>
          <w:szCs w:val="22"/>
          <w:lang w:val="en-US" w:eastAsia="zh-TW"/>
        </w:rPr>
        <w:t xml:space="preserve">, </w:t>
      </w:r>
      <w:r w:rsidR="00F1430D" w:rsidRPr="00147BA0">
        <w:rPr>
          <w:sz w:val="22"/>
          <w:szCs w:val="22"/>
          <w:lang w:val="en-US" w:eastAsia="zh-TW"/>
        </w:rPr>
        <w:t>InterDigital</w:t>
      </w:r>
    </w:p>
    <w:sectPr w:rsidR="001B74CC" w:rsidRPr="00561513">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17640" w14:textId="77777777" w:rsidR="002D6DE4" w:rsidRDefault="002D6DE4">
      <w:r>
        <w:separator/>
      </w:r>
    </w:p>
  </w:endnote>
  <w:endnote w:type="continuationSeparator" w:id="0">
    <w:p w14:paraId="782B11ED" w14:textId="77777777" w:rsidR="002D6DE4" w:rsidRDefault="002D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388D8" w14:textId="77777777" w:rsidR="002D6DE4" w:rsidRDefault="002D6DE4">
      <w:r>
        <w:separator/>
      </w:r>
    </w:p>
  </w:footnote>
  <w:footnote w:type="continuationSeparator" w:id="0">
    <w:p w14:paraId="3DC284E5" w14:textId="77777777" w:rsidR="002D6DE4" w:rsidRDefault="002D6D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5"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0"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18"/>
  </w:num>
  <w:num w:numId="5">
    <w:abstractNumId w:val="13"/>
  </w:num>
  <w:num w:numId="6">
    <w:abstractNumId w:val="17"/>
  </w:num>
  <w:num w:numId="7">
    <w:abstractNumId w:val="0"/>
  </w:num>
  <w:num w:numId="8">
    <w:abstractNumId w:val="27"/>
  </w:num>
  <w:num w:numId="9">
    <w:abstractNumId w:val="2"/>
  </w:num>
  <w:num w:numId="10">
    <w:abstractNumId w:val="6"/>
  </w:num>
  <w:num w:numId="11">
    <w:abstractNumId w:val="1"/>
  </w:num>
  <w:num w:numId="12">
    <w:abstractNumId w:val="21"/>
  </w:num>
  <w:num w:numId="13">
    <w:abstractNumId w:val="4"/>
  </w:num>
  <w:num w:numId="14">
    <w:abstractNumId w:val="25"/>
  </w:num>
  <w:num w:numId="15">
    <w:abstractNumId w:val="23"/>
  </w:num>
  <w:num w:numId="16">
    <w:abstractNumId w:val="12"/>
  </w:num>
  <w:num w:numId="17">
    <w:abstractNumId w:val="8"/>
  </w:num>
  <w:num w:numId="18">
    <w:abstractNumId w:val="38"/>
  </w:num>
  <w:num w:numId="19">
    <w:abstractNumId w:val="29"/>
  </w:num>
  <w:num w:numId="20">
    <w:abstractNumId w:val="24"/>
  </w:num>
  <w:num w:numId="21">
    <w:abstractNumId w:val="37"/>
  </w:num>
  <w:num w:numId="22">
    <w:abstractNumId w:val="39"/>
  </w:num>
  <w:num w:numId="23">
    <w:abstractNumId w:val="28"/>
  </w:num>
  <w:num w:numId="24">
    <w:abstractNumId w:val="30"/>
  </w:num>
  <w:num w:numId="25">
    <w:abstractNumId w:val="5"/>
  </w:num>
  <w:num w:numId="26">
    <w:abstractNumId w:val="15"/>
  </w:num>
  <w:num w:numId="27">
    <w:abstractNumId w:val="19"/>
  </w:num>
  <w:num w:numId="28">
    <w:abstractNumId w:val="32"/>
  </w:num>
  <w:num w:numId="29">
    <w:abstractNumId w:val="20"/>
  </w:num>
  <w:num w:numId="30">
    <w:abstractNumId w:val="34"/>
  </w:num>
  <w:num w:numId="31">
    <w:abstractNumId w:val="36"/>
  </w:num>
  <w:num w:numId="32">
    <w:abstractNumId w:val="3"/>
  </w:num>
  <w:num w:numId="33">
    <w:abstractNumId w:val="35"/>
  </w:num>
  <w:num w:numId="34">
    <w:abstractNumId w:val="26"/>
  </w:num>
  <w:num w:numId="35">
    <w:abstractNumId w:val="31"/>
  </w:num>
  <w:num w:numId="36">
    <w:abstractNumId w:val="22"/>
  </w:num>
  <w:num w:numId="37">
    <w:abstractNumId w:val="40"/>
  </w:num>
  <w:num w:numId="38">
    <w:abstractNumId w:val="9"/>
  </w:num>
  <w:num w:numId="39">
    <w:abstractNumId w:val="10"/>
  </w:num>
  <w:num w:numId="40">
    <w:abstractNumId w:val="16"/>
  </w:num>
  <w:num w:numId="41">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20B2C"/>
    <w:rsid w:val="000211DB"/>
    <w:rsid w:val="000248C3"/>
    <w:rsid w:val="00025540"/>
    <w:rsid w:val="00025EAD"/>
    <w:rsid w:val="00026083"/>
    <w:rsid w:val="000271CE"/>
    <w:rsid w:val="00031000"/>
    <w:rsid w:val="00032B4C"/>
    <w:rsid w:val="0003304F"/>
    <w:rsid w:val="000330B6"/>
    <w:rsid w:val="00033C31"/>
    <w:rsid w:val="00033DCE"/>
    <w:rsid w:val="00034724"/>
    <w:rsid w:val="000351B5"/>
    <w:rsid w:val="00037EC4"/>
    <w:rsid w:val="00040D2D"/>
    <w:rsid w:val="00042487"/>
    <w:rsid w:val="00042A72"/>
    <w:rsid w:val="00042DFE"/>
    <w:rsid w:val="00043994"/>
    <w:rsid w:val="000458F3"/>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4711"/>
    <w:rsid w:val="00075203"/>
    <w:rsid w:val="00075978"/>
    <w:rsid w:val="00077922"/>
    <w:rsid w:val="00077C1F"/>
    <w:rsid w:val="00077C80"/>
    <w:rsid w:val="00081154"/>
    <w:rsid w:val="000823B9"/>
    <w:rsid w:val="000823BD"/>
    <w:rsid w:val="00082532"/>
    <w:rsid w:val="0008378D"/>
    <w:rsid w:val="000839D2"/>
    <w:rsid w:val="00085FF2"/>
    <w:rsid w:val="000860DB"/>
    <w:rsid w:val="00090C03"/>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D0A"/>
    <w:rsid w:val="000E17DA"/>
    <w:rsid w:val="000E4767"/>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F1"/>
    <w:rsid w:val="00162183"/>
    <w:rsid w:val="00162D02"/>
    <w:rsid w:val="001639C3"/>
    <w:rsid w:val="0016468C"/>
    <w:rsid w:val="00164C77"/>
    <w:rsid w:val="00164DED"/>
    <w:rsid w:val="00164F8B"/>
    <w:rsid w:val="00167388"/>
    <w:rsid w:val="001675A8"/>
    <w:rsid w:val="0017047C"/>
    <w:rsid w:val="00171001"/>
    <w:rsid w:val="0017117C"/>
    <w:rsid w:val="00175A35"/>
    <w:rsid w:val="0017656E"/>
    <w:rsid w:val="00176BC1"/>
    <w:rsid w:val="0017734F"/>
    <w:rsid w:val="00180715"/>
    <w:rsid w:val="00180D5E"/>
    <w:rsid w:val="001810B4"/>
    <w:rsid w:val="00181E9E"/>
    <w:rsid w:val="00182FBB"/>
    <w:rsid w:val="001845FA"/>
    <w:rsid w:val="00184F1B"/>
    <w:rsid w:val="00187F32"/>
    <w:rsid w:val="00190971"/>
    <w:rsid w:val="00190AEE"/>
    <w:rsid w:val="00190C88"/>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DF1"/>
    <w:rsid w:val="001B0E64"/>
    <w:rsid w:val="001B151C"/>
    <w:rsid w:val="001B23EA"/>
    <w:rsid w:val="001B3348"/>
    <w:rsid w:val="001B34C2"/>
    <w:rsid w:val="001B4376"/>
    <w:rsid w:val="001B533B"/>
    <w:rsid w:val="001B6337"/>
    <w:rsid w:val="001B74CC"/>
    <w:rsid w:val="001B77CA"/>
    <w:rsid w:val="001C0230"/>
    <w:rsid w:val="001C0E4B"/>
    <w:rsid w:val="001C0F0D"/>
    <w:rsid w:val="001C25C5"/>
    <w:rsid w:val="001C3C8C"/>
    <w:rsid w:val="001C4173"/>
    <w:rsid w:val="001C5E7C"/>
    <w:rsid w:val="001C7D04"/>
    <w:rsid w:val="001D050E"/>
    <w:rsid w:val="001D0CD0"/>
    <w:rsid w:val="001D0EFF"/>
    <w:rsid w:val="001D23C7"/>
    <w:rsid w:val="001D38CC"/>
    <w:rsid w:val="001D3DC9"/>
    <w:rsid w:val="001D49FD"/>
    <w:rsid w:val="001D537B"/>
    <w:rsid w:val="001D615F"/>
    <w:rsid w:val="001D7140"/>
    <w:rsid w:val="001D73BD"/>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689A"/>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3F34"/>
    <w:rsid w:val="002454E4"/>
    <w:rsid w:val="00246449"/>
    <w:rsid w:val="00253DDD"/>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572A"/>
    <w:rsid w:val="00296EE0"/>
    <w:rsid w:val="00297537"/>
    <w:rsid w:val="00297F50"/>
    <w:rsid w:val="002A2D8B"/>
    <w:rsid w:val="002A304A"/>
    <w:rsid w:val="002A3951"/>
    <w:rsid w:val="002A4471"/>
    <w:rsid w:val="002A4D46"/>
    <w:rsid w:val="002A4D8E"/>
    <w:rsid w:val="002A4DAA"/>
    <w:rsid w:val="002A5224"/>
    <w:rsid w:val="002A578A"/>
    <w:rsid w:val="002B064C"/>
    <w:rsid w:val="002B0830"/>
    <w:rsid w:val="002B0BC4"/>
    <w:rsid w:val="002B3EE7"/>
    <w:rsid w:val="002B5446"/>
    <w:rsid w:val="002B56F6"/>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CB0"/>
    <w:rsid w:val="002F23F7"/>
    <w:rsid w:val="002F297D"/>
    <w:rsid w:val="002F2B5A"/>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AA7"/>
    <w:rsid w:val="00314D8C"/>
    <w:rsid w:val="00314E1D"/>
    <w:rsid w:val="0031536F"/>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3329"/>
    <w:rsid w:val="003443FC"/>
    <w:rsid w:val="003450FE"/>
    <w:rsid w:val="00345699"/>
    <w:rsid w:val="00345B04"/>
    <w:rsid w:val="00345E9B"/>
    <w:rsid w:val="00346482"/>
    <w:rsid w:val="003477C4"/>
    <w:rsid w:val="0034784B"/>
    <w:rsid w:val="00350888"/>
    <w:rsid w:val="0035105D"/>
    <w:rsid w:val="00351CD4"/>
    <w:rsid w:val="00352440"/>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1D47"/>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D4085"/>
    <w:rsid w:val="003D429E"/>
    <w:rsid w:val="003D4ACB"/>
    <w:rsid w:val="003D5BD8"/>
    <w:rsid w:val="003D6C1C"/>
    <w:rsid w:val="003D758B"/>
    <w:rsid w:val="003E124E"/>
    <w:rsid w:val="003E32E4"/>
    <w:rsid w:val="003E3F59"/>
    <w:rsid w:val="003E4559"/>
    <w:rsid w:val="003E4B7E"/>
    <w:rsid w:val="003E62F0"/>
    <w:rsid w:val="003E6781"/>
    <w:rsid w:val="003F010D"/>
    <w:rsid w:val="003F01D8"/>
    <w:rsid w:val="003F22A4"/>
    <w:rsid w:val="003F26D9"/>
    <w:rsid w:val="003F34FF"/>
    <w:rsid w:val="003F3B48"/>
    <w:rsid w:val="003F42DB"/>
    <w:rsid w:val="003F4FF4"/>
    <w:rsid w:val="003F5DCE"/>
    <w:rsid w:val="003F7202"/>
    <w:rsid w:val="003F7251"/>
    <w:rsid w:val="003F7BEA"/>
    <w:rsid w:val="00400878"/>
    <w:rsid w:val="00400C9E"/>
    <w:rsid w:val="004010DA"/>
    <w:rsid w:val="00401249"/>
    <w:rsid w:val="0040174C"/>
    <w:rsid w:val="00401C9F"/>
    <w:rsid w:val="004028A5"/>
    <w:rsid w:val="00404202"/>
    <w:rsid w:val="0040477A"/>
    <w:rsid w:val="00404F78"/>
    <w:rsid w:val="004076D6"/>
    <w:rsid w:val="004125A4"/>
    <w:rsid w:val="00412BDB"/>
    <w:rsid w:val="004155DE"/>
    <w:rsid w:val="00415A50"/>
    <w:rsid w:val="0041680B"/>
    <w:rsid w:val="004169BA"/>
    <w:rsid w:val="00420759"/>
    <w:rsid w:val="00420C00"/>
    <w:rsid w:val="00421CCD"/>
    <w:rsid w:val="004258D3"/>
    <w:rsid w:val="00426294"/>
    <w:rsid w:val="00427542"/>
    <w:rsid w:val="0042771F"/>
    <w:rsid w:val="00427CF5"/>
    <w:rsid w:val="00431517"/>
    <w:rsid w:val="00431B15"/>
    <w:rsid w:val="00431FE9"/>
    <w:rsid w:val="00432183"/>
    <w:rsid w:val="004332FB"/>
    <w:rsid w:val="00434023"/>
    <w:rsid w:val="0043439B"/>
    <w:rsid w:val="00435A3B"/>
    <w:rsid w:val="00435E50"/>
    <w:rsid w:val="00437A02"/>
    <w:rsid w:val="00437D3A"/>
    <w:rsid w:val="004417A4"/>
    <w:rsid w:val="00441FF8"/>
    <w:rsid w:val="00442230"/>
    <w:rsid w:val="004423A5"/>
    <w:rsid w:val="00442B1D"/>
    <w:rsid w:val="00443206"/>
    <w:rsid w:val="004437BF"/>
    <w:rsid w:val="00444476"/>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47B4"/>
    <w:rsid w:val="0046596C"/>
    <w:rsid w:val="0046640F"/>
    <w:rsid w:val="00466ACC"/>
    <w:rsid w:val="004670FB"/>
    <w:rsid w:val="00467CAC"/>
    <w:rsid w:val="00467D09"/>
    <w:rsid w:val="004716E6"/>
    <w:rsid w:val="004732B7"/>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7276"/>
    <w:rsid w:val="004B7613"/>
    <w:rsid w:val="004B7F39"/>
    <w:rsid w:val="004C206F"/>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0873"/>
    <w:rsid w:val="00511772"/>
    <w:rsid w:val="005125B9"/>
    <w:rsid w:val="00513BEA"/>
    <w:rsid w:val="005146BF"/>
    <w:rsid w:val="00515BBB"/>
    <w:rsid w:val="00516925"/>
    <w:rsid w:val="00521617"/>
    <w:rsid w:val="00521661"/>
    <w:rsid w:val="00524A7D"/>
    <w:rsid w:val="00524A95"/>
    <w:rsid w:val="00524FBE"/>
    <w:rsid w:val="00526286"/>
    <w:rsid w:val="00526CE9"/>
    <w:rsid w:val="00527BA0"/>
    <w:rsid w:val="00530FAE"/>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1513"/>
    <w:rsid w:val="00561786"/>
    <w:rsid w:val="00565257"/>
    <w:rsid w:val="00566004"/>
    <w:rsid w:val="00566C7E"/>
    <w:rsid w:val="00567327"/>
    <w:rsid w:val="00567C88"/>
    <w:rsid w:val="0057332A"/>
    <w:rsid w:val="0057390F"/>
    <w:rsid w:val="005742C5"/>
    <w:rsid w:val="00574AE1"/>
    <w:rsid w:val="005750F0"/>
    <w:rsid w:val="005804CF"/>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7A3"/>
    <w:rsid w:val="005B3DE9"/>
    <w:rsid w:val="005B5273"/>
    <w:rsid w:val="005B5644"/>
    <w:rsid w:val="005B6A44"/>
    <w:rsid w:val="005B6F20"/>
    <w:rsid w:val="005B7AEE"/>
    <w:rsid w:val="005C0AD6"/>
    <w:rsid w:val="005C23C3"/>
    <w:rsid w:val="005C245E"/>
    <w:rsid w:val="005C2CD1"/>
    <w:rsid w:val="005C3B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4B0C"/>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20729"/>
    <w:rsid w:val="006210C9"/>
    <w:rsid w:val="00621472"/>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58D"/>
    <w:rsid w:val="006629C6"/>
    <w:rsid w:val="0066465E"/>
    <w:rsid w:val="006671B3"/>
    <w:rsid w:val="00670B54"/>
    <w:rsid w:val="00672CD7"/>
    <w:rsid w:val="00675294"/>
    <w:rsid w:val="006754D1"/>
    <w:rsid w:val="00675D27"/>
    <w:rsid w:val="0067655C"/>
    <w:rsid w:val="006773CF"/>
    <w:rsid w:val="00677DDA"/>
    <w:rsid w:val="006813AA"/>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6F7BD1"/>
    <w:rsid w:val="007031A9"/>
    <w:rsid w:val="00703BEF"/>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5A02"/>
    <w:rsid w:val="00736519"/>
    <w:rsid w:val="007368E7"/>
    <w:rsid w:val="00740339"/>
    <w:rsid w:val="0074108D"/>
    <w:rsid w:val="0074127D"/>
    <w:rsid w:val="0074438B"/>
    <w:rsid w:val="00745328"/>
    <w:rsid w:val="0074558E"/>
    <w:rsid w:val="007457E1"/>
    <w:rsid w:val="00745CE2"/>
    <w:rsid w:val="007463AF"/>
    <w:rsid w:val="007506FB"/>
    <w:rsid w:val="00750D7F"/>
    <w:rsid w:val="00752256"/>
    <w:rsid w:val="00752A17"/>
    <w:rsid w:val="00752B76"/>
    <w:rsid w:val="00753455"/>
    <w:rsid w:val="0076028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7613"/>
    <w:rsid w:val="0078799B"/>
    <w:rsid w:val="00787E50"/>
    <w:rsid w:val="007909C9"/>
    <w:rsid w:val="007922AE"/>
    <w:rsid w:val="00792301"/>
    <w:rsid w:val="00792C4F"/>
    <w:rsid w:val="00792EA7"/>
    <w:rsid w:val="007957EA"/>
    <w:rsid w:val="00796624"/>
    <w:rsid w:val="00797BA2"/>
    <w:rsid w:val="00797DE4"/>
    <w:rsid w:val="00797E16"/>
    <w:rsid w:val="007A00AB"/>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E68"/>
    <w:rsid w:val="007D0D25"/>
    <w:rsid w:val="007D53DE"/>
    <w:rsid w:val="007D554D"/>
    <w:rsid w:val="007D5E0C"/>
    <w:rsid w:val="007D5FD2"/>
    <w:rsid w:val="007D62B3"/>
    <w:rsid w:val="007D7F5F"/>
    <w:rsid w:val="007E09D8"/>
    <w:rsid w:val="007E13F5"/>
    <w:rsid w:val="007E38A4"/>
    <w:rsid w:val="007E4897"/>
    <w:rsid w:val="007E49FB"/>
    <w:rsid w:val="007E5213"/>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1813"/>
    <w:rsid w:val="008029EC"/>
    <w:rsid w:val="008034BB"/>
    <w:rsid w:val="00803CE3"/>
    <w:rsid w:val="00803D0A"/>
    <w:rsid w:val="008050FB"/>
    <w:rsid w:val="00805AE3"/>
    <w:rsid w:val="008067C9"/>
    <w:rsid w:val="0080718E"/>
    <w:rsid w:val="0080759B"/>
    <w:rsid w:val="00807747"/>
    <w:rsid w:val="00807F4E"/>
    <w:rsid w:val="00810B8F"/>
    <w:rsid w:val="00812084"/>
    <w:rsid w:val="008128ED"/>
    <w:rsid w:val="008140A9"/>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2F5E"/>
    <w:rsid w:val="008438F5"/>
    <w:rsid w:val="00843AF5"/>
    <w:rsid w:val="008465F0"/>
    <w:rsid w:val="00846F57"/>
    <w:rsid w:val="008471CF"/>
    <w:rsid w:val="008512D9"/>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A1"/>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121B"/>
    <w:rsid w:val="00992610"/>
    <w:rsid w:val="00992937"/>
    <w:rsid w:val="0099412A"/>
    <w:rsid w:val="0099595D"/>
    <w:rsid w:val="00995A51"/>
    <w:rsid w:val="00995ACA"/>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B14"/>
    <w:rsid w:val="009E6A03"/>
    <w:rsid w:val="009F330F"/>
    <w:rsid w:val="009F575D"/>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6063"/>
    <w:rsid w:val="00A364B8"/>
    <w:rsid w:val="00A36563"/>
    <w:rsid w:val="00A3699C"/>
    <w:rsid w:val="00A36B88"/>
    <w:rsid w:val="00A402DD"/>
    <w:rsid w:val="00A40E69"/>
    <w:rsid w:val="00A42CE1"/>
    <w:rsid w:val="00A43051"/>
    <w:rsid w:val="00A45728"/>
    <w:rsid w:val="00A47F0F"/>
    <w:rsid w:val="00A47F72"/>
    <w:rsid w:val="00A5008C"/>
    <w:rsid w:val="00A51BA3"/>
    <w:rsid w:val="00A51C13"/>
    <w:rsid w:val="00A5241E"/>
    <w:rsid w:val="00A53035"/>
    <w:rsid w:val="00A53776"/>
    <w:rsid w:val="00A55B7B"/>
    <w:rsid w:val="00A55CBD"/>
    <w:rsid w:val="00A55E42"/>
    <w:rsid w:val="00A56206"/>
    <w:rsid w:val="00A5624C"/>
    <w:rsid w:val="00A56D28"/>
    <w:rsid w:val="00A57918"/>
    <w:rsid w:val="00A60402"/>
    <w:rsid w:val="00A60BC1"/>
    <w:rsid w:val="00A62DF9"/>
    <w:rsid w:val="00A630BE"/>
    <w:rsid w:val="00A63A33"/>
    <w:rsid w:val="00A63B11"/>
    <w:rsid w:val="00A65471"/>
    <w:rsid w:val="00A65607"/>
    <w:rsid w:val="00A66B8B"/>
    <w:rsid w:val="00A7082E"/>
    <w:rsid w:val="00A70C68"/>
    <w:rsid w:val="00A7129D"/>
    <w:rsid w:val="00A739FF"/>
    <w:rsid w:val="00A73C03"/>
    <w:rsid w:val="00A75694"/>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760"/>
    <w:rsid w:val="00B3366A"/>
    <w:rsid w:val="00B348A8"/>
    <w:rsid w:val="00B356A4"/>
    <w:rsid w:val="00B363F3"/>
    <w:rsid w:val="00B371E4"/>
    <w:rsid w:val="00B404A3"/>
    <w:rsid w:val="00B40EE6"/>
    <w:rsid w:val="00B455E3"/>
    <w:rsid w:val="00B45815"/>
    <w:rsid w:val="00B45EDE"/>
    <w:rsid w:val="00B47364"/>
    <w:rsid w:val="00B47DB8"/>
    <w:rsid w:val="00B509E2"/>
    <w:rsid w:val="00B5214E"/>
    <w:rsid w:val="00B52C1B"/>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BC4"/>
    <w:rsid w:val="00B83DD1"/>
    <w:rsid w:val="00B85A74"/>
    <w:rsid w:val="00B87390"/>
    <w:rsid w:val="00B90C15"/>
    <w:rsid w:val="00B91460"/>
    <w:rsid w:val="00B9154B"/>
    <w:rsid w:val="00B91C4A"/>
    <w:rsid w:val="00B92093"/>
    <w:rsid w:val="00B930E8"/>
    <w:rsid w:val="00B95EF6"/>
    <w:rsid w:val="00B9621B"/>
    <w:rsid w:val="00B96637"/>
    <w:rsid w:val="00B97F7C"/>
    <w:rsid w:val="00BA1260"/>
    <w:rsid w:val="00BA348C"/>
    <w:rsid w:val="00BA45DC"/>
    <w:rsid w:val="00BA64FA"/>
    <w:rsid w:val="00BA77E7"/>
    <w:rsid w:val="00BB0999"/>
    <w:rsid w:val="00BB0ACF"/>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F62"/>
    <w:rsid w:val="00BC7006"/>
    <w:rsid w:val="00BC7CAE"/>
    <w:rsid w:val="00BD1047"/>
    <w:rsid w:val="00BD19C7"/>
    <w:rsid w:val="00BD1A5C"/>
    <w:rsid w:val="00BD46CD"/>
    <w:rsid w:val="00BD550B"/>
    <w:rsid w:val="00BD66B4"/>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4C17"/>
    <w:rsid w:val="00BF4CE6"/>
    <w:rsid w:val="00BF5774"/>
    <w:rsid w:val="00BF758D"/>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4C64"/>
    <w:rsid w:val="00C1624A"/>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F12"/>
    <w:rsid w:val="00CB4F26"/>
    <w:rsid w:val="00CB6906"/>
    <w:rsid w:val="00CC3476"/>
    <w:rsid w:val="00CC4773"/>
    <w:rsid w:val="00CC4C28"/>
    <w:rsid w:val="00CC5AE2"/>
    <w:rsid w:val="00CC6D39"/>
    <w:rsid w:val="00CC77FD"/>
    <w:rsid w:val="00CD1965"/>
    <w:rsid w:val="00CD2861"/>
    <w:rsid w:val="00CD3D7B"/>
    <w:rsid w:val="00CD4897"/>
    <w:rsid w:val="00CD5234"/>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1C8"/>
    <w:rsid w:val="00D57D4A"/>
    <w:rsid w:val="00D64E6C"/>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87EBD"/>
    <w:rsid w:val="00D9016C"/>
    <w:rsid w:val="00D90C0F"/>
    <w:rsid w:val="00D931DF"/>
    <w:rsid w:val="00D95A54"/>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F79"/>
    <w:rsid w:val="00DD7FBE"/>
    <w:rsid w:val="00DE1081"/>
    <w:rsid w:val="00DE1C4A"/>
    <w:rsid w:val="00DE1C95"/>
    <w:rsid w:val="00DE26D7"/>
    <w:rsid w:val="00DE2D5C"/>
    <w:rsid w:val="00DE2F85"/>
    <w:rsid w:val="00DE2FFE"/>
    <w:rsid w:val="00DE3425"/>
    <w:rsid w:val="00DE37B6"/>
    <w:rsid w:val="00DE4570"/>
    <w:rsid w:val="00DE4A49"/>
    <w:rsid w:val="00DE5C9E"/>
    <w:rsid w:val="00DF012C"/>
    <w:rsid w:val="00DF0CD8"/>
    <w:rsid w:val="00DF257E"/>
    <w:rsid w:val="00DF2D5A"/>
    <w:rsid w:val="00DF3893"/>
    <w:rsid w:val="00DF3AD7"/>
    <w:rsid w:val="00DF4FDD"/>
    <w:rsid w:val="00E0169B"/>
    <w:rsid w:val="00E01EA3"/>
    <w:rsid w:val="00E024E8"/>
    <w:rsid w:val="00E03362"/>
    <w:rsid w:val="00E035ED"/>
    <w:rsid w:val="00E043C1"/>
    <w:rsid w:val="00E05672"/>
    <w:rsid w:val="00E05F6B"/>
    <w:rsid w:val="00E06A10"/>
    <w:rsid w:val="00E100D5"/>
    <w:rsid w:val="00E10358"/>
    <w:rsid w:val="00E11031"/>
    <w:rsid w:val="00E11F67"/>
    <w:rsid w:val="00E1507F"/>
    <w:rsid w:val="00E15E48"/>
    <w:rsid w:val="00E162D7"/>
    <w:rsid w:val="00E17270"/>
    <w:rsid w:val="00E17E7D"/>
    <w:rsid w:val="00E23319"/>
    <w:rsid w:val="00E23416"/>
    <w:rsid w:val="00E2385F"/>
    <w:rsid w:val="00E243CA"/>
    <w:rsid w:val="00E24CE0"/>
    <w:rsid w:val="00E25861"/>
    <w:rsid w:val="00E26CB0"/>
    <w:rsid w:val="00E272CF"/>
    <w:rsid w:val="00E27BD1"/>
    <w:rsid w:val="00E3014F"/>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38FB"/>
    <w:rsid w:val="00E74D2D"/>
    <w:rsid w:val="00E74FD3"/>
    <w:rsid w:val="00E76552"/>
    <w:rsid w:val="00E77BC1"/>
    <w:rsid w:val="00E8086C"/>
    <w:rsid w:val="00E80AD3"/>
    <w:rsid w:val="00E8277B"/>
    <w:rsid w:val="00E82F74"/>
    <w:rsid w:val="00E835D4"/>
    <w:rsid w:val="00E83EF0"/>
    <w:rsid w:val="00E84192"/>
    <w:rsid w:val="00E858A8"/>
    <w:rsid w:val="00E86A86"/>
    <w:rsid w:val="00E87884"/>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6D1A"/>
    <w:rsid w:val="00EF0253"/>
    <w:rsid w:val="00EF0357"/>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6274"/>
    <w:rsid w:val="00F066FE"/>
    <w:rsid w:val="00F0796E"/>
    <w:rsid w:val="00F116CB"/>
    <w:rsid w:val="00F11728"/>
    <w:rsid w:val="00F11ADF"/>
    <w:rsid w:val="00F1430D"/>
    <w:rsid w:val="00F14E7F"/>
    <w:rsid w:val="00F15511"/>
    <w:rsid w:val="00F155AC"/>
    <w:rsid w:val="00F15B77"/>
    <w:rsid w:val="00F16A01"/>
    <w:rsid w:val="00F22260"/>
    <w:rsid w:val="00F22B21"/>
    <w:rsid w:val="00F23DD9"/>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E0A"/>
    <w:rsid w:val="00F44618"/>
    <w:rsid w:val="00F451E4"/>
    <w:rsid w:val="00F46B5E"/>
    <w:rsid w:val="00F477CC"/>
    <w:rsid w:val="00F509A3"/>
    <w:rsid w:val="00F5100A"/>
    <w:rsid w:val="00F520ED"/>
    <w:rsid w:val="00F53198"/>
    <w:rsid w:val="00F539C0"/>
    <w:rsid w:val="00F55E91"/>
    <w:rsid w:val="00F56F1E"/>
    <w:rsid w:val="00F56FA4"/>
    <w:rsid w:val="00F604FB"/>
    <w:rsid w:val="00F63C7A"/>
    <w:rsid w:val="00F63D22"/>
    <w:rsid w:val="00F651EA"/>
    <w:rsid w:val="00F65BCB"/>
    <w:rsid w:val="00F672F2"/>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6">
    <w:name w:val="annotation subject"/>
    <w:basedOn w:val="ac"/>
    <w:next w:val="ac"/>
    <w:link w:val="af7"/>
    <w:rsid w:val="009A56F5"/>
    <w:rPr>
      <w:rFonts w:ascii="Times New Roman" w:hAnsi="Times New Roman"/>
      <w:b/>
      <w:bCs/>
    </w:rPr>
  </w:style>
  <w:style w:type="character" w:customStyle="1" w:styleId="af7">
    <w:name w:val="註解主旨 字元"/>
    <w:basedOn w:val="ad"/>
    <w:link w:val="af6"/>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D281A-69D3-4683-86CB-0E2C6381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3363</Characters>
  <Application>Microsoft Office Word</Application>
  <DocSecurity>0</DocSecurity>
  <Lines>28</Lines>
  <Paragraphs>7</Paragraphs>
  <ScaleCrop>false</ScaleCrop>
  <Company>Asustek</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